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65C" w:rsidRDefault="00FB065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B065C" w:rsidRDefault="00FB065C">
      <w:pPr>
        <w:pStyle w:val="ConsPlusTitle"/>
        <w:jc w:val="center"/>
      </w:pPr>
    </w:p>
    <w:p w:rsidR="00FB065C" w:rsidRDefault="00FB065C">
      <w:pPr>
        <w:pStyle w:val="ConsPlusTitle"/>
        <w:jc w:val="center"/>
      </w:pPr>
      <w:r>
        <w:t>РАСПОРЯЖЕНИЕ</w:t>
      </w:r>
    </w:p>
    <w:p w:rsidR="00FB065C" w:rsidRDefault="00FB065C">
      <w:pPr>
        <w:pStyle w:val="ConsPlusTitle"/>
        <w:jc w:val="center"/>
      </w:pPr>
      <w:r>
        <w:t>от 17 апреля 2019 г. N 768-р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развития конкуренции в субъектах Российской Федерации (далее - стандарт).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2. Рекомендовать: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органам исполнительной власти субъектов Российской Федерации и органам местного самоуправления при осуществлении деятельности по развитию конкуренции руководствоваться положениями </w:t>
      </w:r>
      <w:hyperlink w:anchor="P32" w:history="1">
        <w:r>
          <w:rPr>
            <w:color w:val="0000FF"/>
          </w:rPr>
          <w:t>стандарта</w:t>
        </w:r>
      </w:hyperlink>
      <w:r>
        <w:t>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субъектам естественных монополий руководствоваться положениями </w:t>
      </w:r>
      <w:hyperlink w:anchor="P32" w:history="1">
        <w:r>
          <w:rPr>
            <w:color w:val="0000FF"/>
          </w:rPr>
          <w:t>стандарта</w:t>
        </w:r>
      </w:hyperlink>
      <w:r>
        <w:t xml:space="preserve"> в рамках раскрытия информации о своей деятельности.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3. ФАС России по согласованию с заинтересованными федеральными органами исполнительной власти утвердить методики расчета ключевых показателей развития конкуренции, предусмотренных приложением к </w:t>
      </w:r>
      <w:hyperlink w:anchor="P32" w:history="1">
        <w:r>
          <w:rPr>
            <w:color w:val="0000FF"/>
          </w:rPr>
          <w:t>стандарту</w:t>
        </w:r>
      </w:hyperlink>
      <w:r>
        <w:t>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4. Минэкономразвития России: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образовать межведомственную рабочую группу по вопросам реализации положений </w:t>
      </w:r>
      <w:hyperlink w:anchor="P32" w:history="1">
        <w:r>
          <w:rPr>
            <w:color w:val="0000FF"/>
          </w:rPr>
          <w:t>стандарта</w:t>
        </w:r>
      </w:hyperlink>
      <w:r>
        <w:t>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представлять </w:t>
      </w:r>
      <w:proofErr w:type="gramStart"/>
      <w:r>
        <w:t>при необходимости в Правительство Российской Федерации в установленном порядке предложения по внесению изменений в стандарт</w:t>
      </w:r>
      <w:proofErr w:type="gramEnd"/>
      <w:r>
        <w:t xml:space="preserve">, одобренные межведомственной рабочей группой по вопросам реализации положений </w:t>
      </w:r>
      <w:hyperlink w:anchor="P32" w:history="1">
        <w:r>
          <w:rPr>
            <w:color w:val="0000FF"/>
          </w:rPr>
          <w:t>стандарта</w:t>
        </w:r>
      </w:hyperlink>
      <w:r>
        <w:t>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 xml:space="preserve">представлять в Правительство Российской Федерации ежегодно, в IV квартале года, следующего за отчетным, доклад о результатах внедрения </w:t>
      </w:r>
      <w:hyperlink w:anchor="P32" w:history="1">
        <w:r>
          <w:rPr>
            <w:color w:val="0000FF"/>
          </w:rPr>
          <w:t>стандарта</w:t>
        </w:r>
      </w:hyperlink>
      <w:r>
        <w:t>, включающий оценку эффективности деятельности органов исполнительной власти субъектов Российской Федерации по его внедрению.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>5. Признать утратившими силу:</w:t>
      </w:r>
    </w:p>
    <w:p w:rsidR="00FB065C" w:rsidRDefault="00FB065C">
      <w:pPr>
        <w:pStyle w:val="ConsPlusNormal"/>
        <w:spacing w:before="240"/>
        <w:ind w:firstLine="540"/>
        <w:jc w:val="both"/>
      </w:pPr>
      <w:hyperlink r:id="rId5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5 сентября 2015 г. N 1738-р (Собрание законодательства Российской Федерации, 2015, N 37, ст. 5176);</w:t>
      </w:r>
    </w:p>
    <w:p w:rsidR="00FB065C" w:rsidRDefault="00FB065C">
      <w:pPr>
        <w:pStyle w:val="ConsPlusNormal"/>
        <w:spacing w:before="240"/>
        <w:ind w:firstLine="540"/>
        <w:jc w:val="both"/>
      </w:pPr>
      <w:hyperlink r:id="rId6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17 сентября 2016 г. N 1969-р (Собрание законодательства Российской Федерации, 2016, N 39, ст. 5702).</w:t>
      </w: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jc w:val="right"/>
      </w:pPr>
      <w:r>
        <w:t>Председатель Правительства</w:t>
      </w:r>
    </w:p>
    <w:p w:rsidR="00FB065C" w:rsidRDefault="00FB065C">
      <w:pPr>
        <w:pStyle w:val="ConsPlusNormal"/>
        <w:jc w:val="right"/>
      </w:pPr>
      <w:r>
        <w:t>Российской Федерации</w:t>
      </w:r>
    </w:p>
    <w:p w:rsidR="00FB065C" w:rsidRDefault="00FB065C">
      <w:pPr>
        <w:pStyle w:val="ConsPlusNormal"/>
        <w:jc w:val="right"/>
      </w:pPr>
      <w:r>
        <w:t>Д.МЕДВЕДЕВ</w:t>
      </w: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jc w:val="right"/>
        <w:outlineLvl w:val="0"/>
      </w:pPr>
      <w:r>
        <w:t>Утвержден</w:t>
      </w:r>
    </w:p>
    <w:p w:rsidR="00FB065C" w:rsidRDefault="00FB065C">
      <w:pPr>
        <w:pStyle w:val="ConsPlusNormal"/>
        <w:jc w:val="right"/>
      </w:pPr>
      <w:r>
        <w:t>распоряжением Правительства</w:t>
      </w:r>
    </w:p>
    <w:p w:rsidR="00FB065C" w:rsidRDefault="00FB065C">
      <w:pPr>
        <w:pStyle w:val="ConsPlusNormal"/>
        <w:jc w:val="right"/>
      </w:pPr>
      <w:r>
        <w:t>Российской Федерации</w:t>
      </w:r>
    </w:p>
    <w:p w:rsidR="00FB065C" w:rsidRDefault="00FB065C">
      <w:pPr>
        <w:pStyle w:val="ConsPlusNormal"/>
        <w:jc w:val="right"/>
      </w:pPr>
      <w:r>
        <w:lastRenderedPageBreak/>
        <w:t>от 17 апреля 2019 г. N 768-р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Title"/>
        <w:jc w:val="center"/>
      </w:pPr>
      <w:bookmarkStart w:id="0" w:name="P32"/>
      <w:bookmarkEnd w:id="0"/>
      <w:r>
        <w:t>СТАНДАРТ</w:t>
      </w:r>
    </w:p>
    <w:p w:rsidR="00FB065C" w:rsidRDefault="00FB065C">
      <w:pPr>
        <w:pStyle w:val="ConsPlusTitle"/>
        <w:jc w:val="center"/>
      </w:pPr>
      <w:r>
        <w:t>РАЗВИТИЯ КОНКУРЕНЦИИ В СУБЪЕКТАХ РОССИЙСКОЙ ФЕДЕРАЦИИ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Title"/>
        <w:jc w:val="center"/>
        <w:outlineLvl w:val="1"/>
      </w:pPr>
      <w:r>
        <w:t>I. Общие положения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Normal"/>
        <w:ind w:firstLine="540"/>
        <w:jc w:val="both"/>
      </w:pPr>
      <w:r>
        <w:t xml:space="preserve">1. Стандарт развития конкуренции в субъектах Российской Федерации (далее соответственно - стандарт, конкуренция) разработан в рамках реализации </w:t>
      </w:r>
      <w:hyperlink r:id="rId7" w:history="1">
        <w:r>
          <w:rPr>
            <w:color w:val="0000FF"/>
          </w:rPr>
          <w:t>пункта 7</w:t>
        </w:r>
      </w:hyperlink>
      <w:r>
        <w:t xml:space="preserve"> и </w:t>
      </w:r>
      <w:hyperlink r:id="rId8" w:history="1">
        <w:r>
          <w:rPr>
            <w:color w:val="0000FF"/>
          </w:rPr>
          <w:t>подпункта "в" пункта 8</w:t>
        </w:r>
      </w:hyperlink>
      <w:r>
        <w:t xml:space="preserve"> Указа Президента Российской Федерации от 21 декабря 2017 г. N 618 "Об основных направлениях государственной политики по развитию конкуренции".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2. Целями стандарта являются: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а) установление системного и единообразного подхода к осуществлению деятельности органов исполнительной власти субъектов Российской Федерации, органов местного самоуправления и территориальных органов федеральных органов исполнительной власти по созданию с учетом региональной специфики условий для развития конкуренции между хозяйствующими субъектами в отраслях экономики;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б) содействие формированию прозрачной системы </w:t>
      </w:r>
      <w:proofErr w:type="gramStart"/>
      <w:r>
        <w:t>работы органов исполнительной власти субъектов Российской Федерации</w:t>
      </w:r>
      <w:proofErr w:type="gramEnd"/>
      <w:r>
        <w:t xml:space="preserve"> в части реализации результативных и эффективных мер по развитию конкуренции в интересах потребителей товаров, работ, услуг, в том числе субъектов предпринимательской деятельности, граждан и общества;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в) выявление потенциала развития экономики Российской Федерации, включая научно-технологический и человеческий потенциал;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создание стимулов и содействие формированию условий для развития, поддержки и защиты субъектов малого и среднего предпринимательства, повышения уровня конкурентоспособности их продукции, а также содействие устранению административных барьеров;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>) поддержание и развитие единого экономического пространства Российской Федерации, рост производительности труда и диверсификация экономики;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е) повышение доступности финансовых услуг для субъектов экономической деятельности;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ж) преодоление и минимизация влияния несовершенной конкуренции на инфляцию;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з</w:t>
      </w:r>
      <w:proofErr w:type="spellEnd"/>
      <w:r>
        <w:t xml:space="preserve">) содействие каждым субъектом Российской Федерации развитию конкуренции на товарных рынках, определяемых в соответствии с антимонопольным законодательством Российской Федерации, для достижения положительного эффекта в соответствующих отраслях (сферах) экономики Российской Федерации, характеризующихся наличием значимых проблем, препятствующих конкуренции. </w:t>
      </w:r>
      <w:proofErr w:type="gramStart"/>
      <w:r>
        <w:t>Под товарным рынком в стандарте понимается сфера обращения товара, работы, услуги, которые не могут быть заменены другими товаром, работой, услугой, или взаимозаменяемых товаров, работ, услуг, в границах которой исходя из экономической, технической или иной возможности либо целесообразности приобретатель может приобрести товар, работу, услугу и за пределами которой такая возможность либо целесообразность отсутствует.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>3. Принципами внедрения стандарта являются: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lastRenderedPageBreak/>
        <w:t>а) ориентация на потребителя - высшее должностное лицо (руководитель высшего исполнительного органа государственной власти) субъекта Российской Федерации (далее - высшее должностное лицо) и органы исполнительной власти субъекта Российской Федерации во взаимодействии с руководством муниципальных образований и сотрудниками органов местного самоуправления осуществляют мероприятия по содействию развитию конкуренции исходя из текущих и предполагаемых потребностей потребителей товаров, работ, услуг, участников экономических отношений и общества в</w:t>
      </w:r>
      <w:proofErr w:type="gramEnd"/>
      <w:r>
        <w:t xml:space="preserve"> </w:t>
      </w:r>
      <w:proofErr w:type="gramStart"/>
      <w:r>
        <w:t>целом</w:t>
      </w:r>
      <w:proofErr w:type="gramEnd"/>
      <w:r>
        <w:t>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б) заинтересованность высшего должностного лица - высшее должностное лицо обеспечивает единство целей и направлений </w:t>
      </w:r>
      <w:proofErr w:type="gramStart"/>
      <w:r>
        <w:t>деятельности органов исполнительной власти субъекта Российской Федерации</w:t>
      </w:r>
      <w:proofErr w:type="gramEnd"/>
      <w:r>
        <w:t xml:space="preserve"> для результативной и эффективной реализации стандарта;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в) системный подход - совершенствование </w:t>
      </w:r>
      <w:proofErr w:type="gramStart"/>
      <w:r>
        <w:t>деятельности органов исполнительной власти субъекта Российской Федерации</w:t>
      </w:r>
      <w:proofErr w:type="gramEnd"/>
      <w:r>
        <w:t xml:space="preserve"> по анализу состояния товарных рынков, поведения хозяйствующих субъектов на указанных рынках, выявленных ожиданий потребителей товаров, работ и услуг, планированию деятельности, а также формированию процессов и систем мониторинга, оценки, контроля и анализа деятельности органов исполнительной власти субъекта Российской Федерации;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постоянное совершенствование деятельности - повышение удовлетворенности потребителей и других участников экономической деятельности качеством товаров, работ, услуг, обеспечение информационного взаимодействия с потребителями товаров, работ, услуг и другими заинтересованными сторонами, проведение аудита и анализа результативности мероприятий по содействию развитию конкуренции;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>) прозрачность деятельности - содействие органов исполнительной власти субъекта Российской Федерации в обеспечении открытости и доступности для потребителей товаров, работ, услуг и других участников экономической деятельности информации о мероприятиях по содействию развитию конкуренции, процедурах оказания услуг, а также о решениях, оказывающих воздействие на экономическую конкуренцию.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4. Органами исполнительной власти субъекта Российской Федерации и органами местного самоуправления заключаются соглашения (меморандумы) о внедрении в субъекте Российской Федерации стандарта (далее - соглашения).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В соглашении отражаются положения, определяющие его цели и предмет, описываются порядок, формы и направления </w:t>
      </w:r>
      <w:proofErr w:type="gramStart"/>
      <w:r>
        <w:t>взаимодействия органов исполнительной власти субъекта Российской Федерации</w:t>
      </w:r>
      <w:proofErr w:type="gramEnd"/>
      <w:r>
        <w:t xml:space="preserve"> и органов местного самоуправления. В рамках соглашения органы местного самоуправления оказывают содействие органам исполнительной власти субъекта Российской Федерации при реализации ими стандарта.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5. </w:t>
      </w:r>
      <w:proofErr w:type="gramStart"/>
      <w:r>
        <w:t>Внедрение стандарта осуществляется на основании решения высшего должностного лица и может предусматривать использование проектного подхода, в рамках которого внедрение стандарта является приоритетным проектом органа исполнительной власти субъекта Российской Федерации в соответствии с установленной сферой ведения (далее - ведомственный приоритетный проект), а задачи по содействию развитию конкуренции в субъекте Российской Федерации в целом реализуются в рамках ведомственных приоритетных проектов в составе региональной</w:t>
      </w:r>
      <w:proofErr w:type="gramEnd"/>
      <w:r>
        <w:t xml:space="preserve"> приоритетной программы по внедрению стандарта, утверждаемой высшим должностным лицом.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 xml:space="preserve">Внедрение стандарта предполагает определение в органах исполнительной власти </w:t>
      </w:r>
      <w:r>
        <w:lastRenderedPageBreak/>
        <w:t>субъекта Российской Федерации должностных лиц с правом принятия управленческих решений, занимающих должности не ниже заместителя руководителя, ответственных за координацию вопросов содействия развитию конкуренции, а также структурных подразделений, ответственных за разработку и реализацию планов мероприятий ("дорожных карт") по содействию развитию конкуренции в подведомственной сфере деятельности с внесением соответствующих обязанностей в должностные регламенты и</w:t>
      </w:r>
      <w:proofErr w:type="gramEnd"/>
      <w:r>
        <w:t xml:space="preserve"> положения о структурных подразделениях.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6. </w:t>
      </w:r>
      <w:proofErr w:type="gramStart"/>
      <w:r>
        <w:t xml:space="preserve">Для достижения целей стандарта и соблюдения принципов его внедрения, формирования </w:t>
      </w:r>
      <w:hyperlink w:anchor="P323" w:history="1">
        <w:r>
          <w:rPr>
            <w:color w:val="0000FF"/>
          </w:rPr>
          <w:t>перечня</w:t>
        </w:r>
      </w:hyperlink>
      <w:r>
        <w:t xml:space="preserve"> товарных рынков для содействия развитию конкуренции в субъекте Российской Федерации (далее - перечень товарных рынков), а также для разработки плана мероприятий ("дорожной карты") по содействию развитию конкуренции (далее - "дорожная карта") предполагается ознакомление органов исполнительной власти субъекта Российской Федерации и органов местного самоуправления, а также членов коллегиального координационного или совещательного органа</w:t>
      </w:r>
      <w:proofErr w:type="gramEnd"/>
      <w:r>
        <w:t>, созданного при высшем должностном лице (далее - коллегиальный орган), с Инструментарием для оценки воздействия на конкуренцию (версия 2.0), разработанным Организацией экономического сотрудничества и развития.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Одним из основных средств достижения целей внедрения стандарта является планомерное увеличение финансирования за счет средств бюджетов всех уровней мероприятий, направленных на развитие частного сектора экономики, при одновременном сокращении бюджетных расходов в рыночных отраслях (сферах) экономики.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7. </w:t>
      </w:r>
      <w:proofErr w:type="gramStart"/>
      <w:r>
        <w:t xml:space="preserve">На официальном сайте органа исполнительной власти субъекта Российской Федерации, уполномоченного содействовать развитию конкуренции (далее - уполномоченный орган), в информационно-телекоммуникационной сети "Интернет" (далее - сеть "Интернет") и на </w:t>
      </w:r>
      <w:proofErr w:type="spellStart"/>
      <w:r>
        <w:t>интернет-портале</w:t>
      </w:r>
      <w:proofErr w:type="spellEnd"/>
      <w:r>
        <w:t xml:space="preserve"> об инвестиционной деятельности в субъекте Российской Федерации не реже чем раз в квартал размещаются информация и документы, касающиеся внедрения стандарта, и не реже чем раз в год - сведения об эффекте, достигнутом при внедрении стандарта</w:t>
      </w:r>
      <w:proofErr w:type="gramEnd"/>
      <w:r>
        <w:t>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8. </w:t>
      </w:r>
      <w:proofErr w:type="gramStart"/>
      <w:r>
        <w:t>Для повышения мотивации руководителей органов исполнительной власти субъекта Российской Федерации и органов местного самоуправления к достижению высоких результатов в работе по содействию развитию конкуренции в субъекте Российской Федерации рекомендуется учитывать результаты работы органов исполнительной власти субъекта Российской Федерации и органов местного самоуправления по внедрению стандарта и реализации "дорожной карты" при принятии в установленном порядке решений о поощрении руководителей органов исполнительной</w:t>
      </w:r>
      <w:proofErr w:type="gramEnd"/>
      <w:r>
        <w:t xml:space="preserve"> власти субъекта Российской Федерации и органов местного самоуправления.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Title"/>
        <w:jc w:val="center"/>
        <w:outlineLvl w:val="1"/>
      </w:pPr>
      <w:r>
        <w:t>II. Определение уполномоченного органа</w:t>
      </w: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ind w:firstLine="540"/>
        <w:jc w:val="both"/>
      </w:pPr>
      <w:r>
        <w:t>9. Уполномоченный орган определяется из числа органов исполнительной власти субъекта Российской Федерации.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10. Уполномоченный орган осуществляет следующие полномочия: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 xml:space="preserve">а) формирует с участием органов исполнительной власти субъекта Российской Федерации, осуществляющих (координирующих) деятельность в установленных сферах ведения, проект перечня товарных рынков с аргументированным обоснованием выбора каждого товарного рынка и описанием текущей ситуации на каждом товарном рынке, а также с анализом основных проблем и методов их решения и представляет его на </w:t>
      </w:r>
      <w:r>
        <w:lastRenderedPageBreak/>
        <w:t>рассмотрение и утверждение высшему должностному лицу;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>б) подготавливает проект ежегодного доклада о состоянии и развитии конкуренции на товарных рынках субъекта Российской Федерации (далее - доклад) для его рассмотрения и утверждения коллегиальным органом;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в) разрабатывает проект "дорожной карты" и представляет его на рассмотрение и утверждение высшему должностному лицу;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организует проектную деятельность по вопросам внедрения стандарта, координирует в формате региональной приоритетной программы по внедрению стандарта деятельность органов исполнительной власти субъекта Российской Федерации по выполнению мероприятий, предусмотренных "дорожной картой" и соответствующими ведомственными приоритетными проектами;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>) организует или осуществляет проведение не реже 2 раз в год для органов местного самоуправления обучающих мероприятий и тренингов по вопросам содействия развитию конкуренции, а также повышения качества процессов, связанных с предоставлением услуг, влияющих на развитие конкуренции;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е) формирует при принятии высшим должностным лицом решения, предусматривающего систему поощрений, рейтинг муниципальных образований в части их деятельности по содействию развитию конкуренции и обеспечению условий для благоприятного инвестиционного климата;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ж) размещает информацию о деятельности по содействию развитию конкуренции и соответствующие материалы на официальном сайте уполномоченного органа в сети "Интернет";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з</w:t>
      </w:r>
      <w:proofErr w:type="spellEnd"/>
      <w:r>
        <w:t>) рассматривает обращения субъектов предпринимательской деятельности, потребителей товаров, работ, услуг и общественных организаций, представляющих интересы потребителей, по вопросам содействия развитию конкуренции, относящимся к компетенции уполномоченного органа;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и) организует проведение мониторинга состояния и развития конкуренции на товарных рынках субъекта Российской Федерации (далее - мониторинг);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к) осуществляет оценку успешности и итогов реализации ведомственных приоритетных проектов, входящих в состав региональной приоритетной программы по внедрению стандарта.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11. В рамках реализации мероприятий "дорожной карты", а также иных мероприятий по содействию развитию конкуренции органы исполнительной власти субъекта Российской Федерации, осуществляющие (координирующие) деятельность в установленной сфере ведения, при участии уполномоченного органа: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а) проводят мониторинг, при необходимости подготавливают предложения по улучшению конкурентной среды на товарных рынках субъекта Российской Федерации (в виде проектов актов, ведомственных приоритетных проектов или иных документов);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б) осуществляют реализацию мероприятий "дорожной карты", а также иных мероприятий по содействию развитию конкуренции;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в) обеспечивают единство целей и направлений </w:t>
      </w:r>
      <w:proofErr w:type="gramStart"/>
      <w:r>
        <w:t xml:space="preserve">деятельности органов </w:t>
      </w:r>
      <w:r>
        <w:lastRenderedPageBreak/>
        <w:t>исполнительной власти субъекта Российской Федерации</w:t>
      </w:r>
      <w:proofErr w:type="gramEnd"/>
      <w:r>
        <w:t xml:space="preserve"> и органов местного самоуправления;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обеспечивают информационное взаимодействие с потребителями товаров, работ, услуг, участниками экономической деятельности (предпринимательским сообществом) и другими заинтересованными сторонами, в том числе в целях доступности для потребителей товаров, работ, услуг и других участников экономической деятельности информации о решениях и мероприятиях, оказывающих воздействие на конкуренцию;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>) проводят анализ результативности мероприятий "дорожной карты", а также иных мероприятий по содействию развитию конкуренции, формируют разделы проекта доклада.</w:t>
      </w: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Title"/>
        <w:jc w:val="center"/>
        <w:outlineLvl w:val="1"/>
      </w:pPr>
      <w:r>
        <w:t>III. Рассмотрение вопросов содействия развитию конкуренции</w:t>
      </w:r>
    </w:p>
    <w:p w:rsidR="00FB065C" w:rsidRDefault="00FB065C">
      <w:pPr>
        <w:pStyle w:val="ConsPlusTitle"/>
        <w:jc w:val="center"/>
      </w:pPr>
      <w:r>
        <w:t>на заседаниях коллегиального органа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Normal"/>
        <w:ind w:firstLine="540"/>
        <w:jc w:val="both"/>
      </w:pPr>
      <w:r>
        <w:t>12. Коллегиальный орган на своих заседаниях рассматривает подготавливаемые в целях стимулирования развития конкуренции: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а) проект перечня товарных рынков с аргументированным обоснованием выбора каждого товарного рынка и описанием текущей ситуации на каждом товарном рынке, а также анализом основных проблем и методов их решения;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б) проект "дорожной карты", включая информацию о разработке и выполнении мероприятий, предусмотренных "дорожной картой";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в) иную информацию и проекты правовых актов субъекта Российской Федерации в части их потенциального воздействия на состояние и развитие конкуренции, а также отчет об эффективности контрольно-надзорной деятельности в субъекте Российской Федерации;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результаты и анализ результатов мониторинга.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13. Коллегиальный орган рассматривает и утверждает доклад, а в случае необходимости представляет замечания, предложения и особые мнения членов коллегиального органа для включения их в доклад.</w:t>
      </w:r>
    </w:p>
    <w:p w:rsidR="00FB065C" w:rsidRDefault="00FB065C">
      <w:pPr>
        <w:pStyle w:val="ConsPlusNormal"/>
        <w:spacing w:before="240"/>
        <w:ind w:firstLine="540"/>
        <w:jc w:val="both"/>
      </w:pPr>
      <w:bookmarkStart w:id="1" w:name="P92"/>
      <w:bookmarkEnd w:id="1"/>
      <w:r>
        <w:t>14. В состав коллегиального органа (в том числе в рамках отдельных специализированных рабочих групп по направлениям) включаются: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а) руководители или заместители руководителей уполномоченного органа, а также иных органов исполнительной власти субъекта Российской Федерации, в функции которых входит реализация мероприятий по содействию развитию конкуренции;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б) представители совета муниципальных образований, иных объединений муниципальных образований и (или) органов местного самоуправления;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в) представители общественных организаций, действующих в интересах предпринимателей и потребителей товаров, работ, услуг;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представители комиссии по проведению административной реформы в субъекте Российской Федерации;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 xml:space="preserve">) представители научных, исследовательских, проектных, аналитических </w:t>
      </w:r>
      <w:r>
        <w:lastRenderedPageBreak/>
        <w:t>организаций и технологических платформ, структурных подразделений федерального государственного бюджетного учреждения "Российская академия наук" в субъекте Российской Федерации (при наличии);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е) представители потребителей товаров, работ, услуг, задействованные в механизмах общественного </w:t>
      </w:r>
      <w:proofErr w:type="gramStart"/>
      <w:r>
        <w:t>контроля за</w:t>
      </w:r>
      <w:proofErr w:type="gramEnd"/>
      <w:r>
        <w:t xml:space="preserve"> деятельностью субъектов естественных монополий, а также представители некоммерческих объединений, действующих в интересах технологических и ценовых аудиторов;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ж) представители объединений сельскохозяйственных товаропроизводителей, переработчиков сельскохозяйственной продукции, крестьянских (фермерских) хозяйств и сельскохозяйственных кооперативов;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з</w:t>
      </w:r>
      <w:proofErr w:type="spellEnd"/>
      <w:r>
        <w:t xml:space="preserve">) представители объединений, действующих в интересах сферы рыбного хозяйства (воспроизводство водных биологических ресурсов, </w:t>
      </w:r>
      <w:proofErr w:type="spellStart"/>
      <w:r>
        <w:t>аквакультура</w:t>
      </w:r>
      <w:proofErr w:type="spellEnd"/>
      <w:r>
        <w:t xml:space="preserve">, </w:t>
      </w:r>
      <w:proofErr w:type="spellStart"/>
      <w:r>
        <w:t>марикультура</w:t>
      </w:r>
      <w:proofErr w:type="spellEnd"/>
      <w:r>
        <w:t xml:space="preserve">, товарное рыбоводство, промышленное рыболовство, </w:t>
      </w:r>
      <w:proofErr w:type="spellStart"/>
      <w:r>
        <w:t>рыбопереработка</w:t>
      </w:r>
      <w:proofErr w:type="spellEnd"/>
      <w:r>
        <w:t xml:space="preserve"> и др.);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и) представители профессиональных союзов и обществ, в том числе организаций, действующих в интересах кадрового обеспечения высокотехнологичных отраслей промышленности;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к) представители организаций, сфера деятельности которых связана с объединением профессиональных (независимых) директоров;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л) эксперты и специалисты иных направлений (конструкторы, инженеры, изобретатели, </w:t>
      </w:r>
      <w:proofErr w:type="spellStart"/>
      <w:r>
        <w:t>инноваторы</w:t>
      </w:r>
      <w:proofErr w:type="spellEnd"/>
      <w:r>
        <w:t xml:space="preserve">, специалисты в области программного обеспечения, информационно-коммуникационных технологий, медицинских и биотехнологий, </w:t>
      </w:r>
      <w:proofErr w:type="spellStart"/>
      <w:r>
        <w:t>нанотехнологий</w:t>
      </w:r>
      <w:proofErr w:type="spellEnd"/>
      <w:r>
        <w:t xml:space="preserve">, альтернативной энергетики и </w:t>
      </w:r>
      <w:proofErr w:type="spellStart"/>
      <w:r>
        <w:t>энергоэффективности</w:t>
      </w:r>
      <w:proofErr w:type="spellEnd"/>
      <w:r>
        <w:t>, нового материаловедения, представители научно-технологического и промышленно-делового сообщества, участники процесса, задействованные в рамках развития междисциплинарных исследований, направленных на прорывные разработки и открытия, и др.);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м) представители общественных палат субъектов Российской Федерации.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15. В случае необходимости в состав коллегиального органа помимо лиц, указанных в </w:t>
      </w:r>
      <w:hyperlink w:anchor="P92" w:history="1">
        <w:r>
          <w:rPr>
            <w:color w:val="0000FF"/>
          </w:rPr>
          <w:t>пункте 14</w:t>
        </w:r>
      </w:hyperlink>
      <w:r>
        <w:t xml:space="preserve"> стандарта, могут включаться иные участники (с учетом региональной специфики).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16. В состав коллегиального органа, а также отдельных специализированных рабочих групп по направлениям целесообразно включение: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а) представителей территориальных органов федеральных органов исполнительной власти;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б) уполномоченного по защите прав предпринимателей в субъекте Российской Федерации;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в) уполномоченного по правам человека в субъекте Российской Федерации;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представителей территориальных учреждений Центрального банка Российской Федерации.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17. Заседания коллегиального органа в очном формате целесообразно проводить не </w:t>
      </w:r>
      <w:r>
        <w:lastRenderedPageBreak/>
        <w:t>реже одного раза в квартал.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18. Указанные в настоящем разделе функции коллегиального органа в случае необходимости могут быть возложены на общественный координационный или совещательный орган, созданный в субъекте Российской Федерации с целью улучшения инвестиционного климата, либо на иной общественный координационный или совещательный орган, действующий в целях улучшения условий для ведения предпринимательской деятельности в субъекте Российской Федерации.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19. Материалы заседаний коллегиального органа являются открытыми и размещаются на официальном сайте уполномоченного органа в сети "Интернет".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Title"/>
        <w:jc w:val="center"/>
        <w:outlineLvl w:val="1"/>
      </w:pPr>
      <w:r>
        <w:t>IV. Утверждение перечня товарных рынков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Normal"/>
        <w:ind w:firstLine="540"/>
        <w:jc w:val="both"/>
      </w:pPr>
      <w:r>
        <w:t>20. Уполномоченный орган разрабатывает проект перечня товарных рынков, обосновывает выбор каждого товарного рынка с описанием текущей ситуации и анализом основных проблем и методов их решения и устанавливает обязательные для достижения ключевые показатели.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21. В перечень товарных рынков включается не менее 33 товарных рынков из перечня товарных рынков согласно </w:t>
      </w:r>
      <w:hyperlink w:anchor="P323" w:history="1">
        <w:r>
          <w:rPr>
            <w:color w:val="0000FF"/>
          </w:rPr>
          <w:t>приложению</w:t>
        </w:r>
      </w:hyperlink>
      <w:r>
        <w:t>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В "дорожной карте" предусматриваются соответствующие мероприятия по развитию конкуренции на таких товарных рынках.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Числовые значения ключевых показателей и мероприятия по развитию конкуренции на товарных рынках в "дорожной карте" определяются на период 2019 - 2022 годов с учетом необходимости обязательного достижения к 2022 году числовых значений ключевых показателей не ниже числовых значений, установленных приложением к стандарту. При этом этапы реализации мероприятий по развитию конкуренции на конкретных товарных рынках и числовые значения ключевых показателей по каждому году в период 2019 - 2022 годов определяются субъектами Российской Федерации самостоятельно с учетом специфики социально-экономического развития.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22. Перечень товарных рынков разрабатывается на основе анализа результатов мониторинга. При этом в него ежегодно вносятся изменения с учетом результатов указанного анализа.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23. Разработка перечня товарных рынков </w:t>
      </w:r>
      <w:proofErr w:type="gramStart"/>
      <w:r>
        <w:t>осуществляется</w:t>
      </w:r>
      <w:proofErr w:type="gramEnd"/>
      <w:r>
        <w:t xml:space="preserve"> в том числе на основе следующих данных: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а) информация территориальных органов федеральных органов исполнительной власти, в том числе информация территориального органа Федеральной антимонопольной службы, полученная в результате анализа состояния конкуренции на товарных рынках субъекта Российской Федерации и осуществления государственного контроля за соблюдением антимонопольного законодательства Российской Федерации, а также информация территориальных учреждений Центрального банка Российской Федерации (при ее наличии);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б) информация территориальных органов Федеральной антимонопольной службы, в том числе распространяемая в рамках выявления практик по содействию развитию конкуренции и по нарушению антимонопольного законодательства Российской Федерации органами государственной власти субъектов Российской Федерации и </w:t>
      </w:r>
      <w:r>
        <w:lastRenderedPageBreak/>
        <w:t>органами местного самоуправления;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в) показатели социально-экономического развития субъекта Российской Федерации (включая показатели по каждому из отдельных муниципальных образований);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инвестиционные приоритеты, определяемые субъектом Российской Федерации в установленном им порядке;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>) информация, содержащаяся в документах стратегического планирования Российской Федерации, субъекта Российской Федерации и муниципальных образований (при наличии);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е) результаты аналитических исследований и опросов субъектов предпринимательской деятельности, экспертов, потребителей товаров, работ, услуг, </w:t>
      </w:r>
      <w:proofErr w:type="spellStart"/>
      <w:r>
        <w:t>саморегулируемых</w:t>
      </w:r>
      <w:proofErr w:type="spellEnd"/>
      <w:r>
        <w:t xml:space="preserve"> организаций, профессиональных союзов и советов потребителей, а также общественных организаций, представляющих интересы потребителей, включая результаты мониторинга;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ж) информация научных, исследовательских, аналитических и проектных организаций, экспертные оценки состояния товарных рынков и отраслей региональной экономики, а также данные хозяйствующих субъектов об их деятельности.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24. Информация о разработке проекта перечня товарных рынков и его проект размещаются на официальном сайте уполномоченного органа в сети "Интернет". Субъектам предпринимательской деятельности, потребителям товаров, работ, услуг и общественным организациям, представляющим интересы потребителей, обеспечивается возможность представления замечаний и предложений по проекту перечня товарных рынков.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25. Проект перечня товарных рынков рассматривается на заседании коллегиального органа, одобряется им и выносится на утверждение высшего должностного лица.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Title"/>
        <w:jc w:val="center"/>
        <w:outlineLvl w:val="1"/>
      </w:pPr>
      <w:r>
        <w:t>V. Разработка "дорожной карты"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Normal"/>
        <w:ind w:firstLine="540"/>
        <w:jc w:val="both"/>
      </w:pPr>
      <w:r>
        <w:t>26. Утверждение "дорожной карты" осуществляется высшим должностным лицом.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27. "Дорожная карта" разрабатывается на основе анализа результатов мониторинга, лучших практик </w:t>
      </w:r>
      <w:proofErr w:type="gramStart"/>
      <w:r>
        <w:t>работы органов исполнительной власти субъектов Российской Федерации</w:t>
      </w:r>
      <w:proofErr w:type="gramEnd"/>
      <w:r>
        <w:t xml:space="preserve"> по внедрению стандарта, информации территориальных органов федеральных органов исполнительной власти, территориальных учреждений Центрального банка Российской Федерации и иных источников информации.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Допускается включение в "дорожную карту" мероприятий до проведения мониторинга при наличии достаточной информации и материалов о необходимости реализации мер по развитию конкуренции на соответствующем товарном рынке.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При этом в "дорожную карту" ежегодно вносятся изменения с учетом анализа результатов мониторинга и получаемой информации. Не допускается включение в "дорожную карту" фактически выполненных мероприятий с достигнутыми ключевыми показателями.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28. При разработке и реализации "дорожной карты", а также при внесении в нее изменений осуществляются: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lastRenderedPageBreak/>
        <w:t>а) определение процессов, необходимых для реализации требований по развитию конкуренции;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б) определение последовательности и взаимодействия этих процессов, а также их приоритетность;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в) определение критериев и методов, необходимых для обеспечения результативности и </w:t>
      </w:r>
      <w:proofErr w:type="gramStart"/>
      <w:r>
        <w:t>эффективности</w:t>
      </w:r>
      <w:proofErr w:type="gramEnd"/>
      <w:r>
        <w:t xml:space="preserve"> как при осуществлении этих процессов, так и при управлении ими;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обеспечение ресурсов и информации, необходимых для поддержания этих процессов и их мониторинга;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 xml:space="preserve">) определение принципов и порядка </w:t>
      </w:r>
      <w:proofErr w:type="gramStart"/>
      <w:r>
        <w:t>взаимодействия органов исполнительной власти субъекта Российской Федерации</w:t>
      </w:r>
      <w:proofErr w:type="gramEnd"/>
      <w:r>
        <w:t xml:space="preserve"> с органами местного самоуправления;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е) мероприятия, необходимые для достижения запланированных результатов.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29. Органы местного самоуправления при наличии соглашения могут быть соисполнителями мероприятий "дорожной карты".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30. Наряду с мероприятиями, сформированными в целях достижения ключевых показателей, в "дорожной карте" предусматриваются также системные мероприятия, которые должны быть направлены на развитие конкуренции в субъекте Российской Федерации, в том числе: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а) на развитие конкурентоспособности товаров, работ, услуг субъектов малого и среднего предпринимательства;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б) на 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исполнителей), предусматривающих: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устранение случаев (снижение количества) осуществления закупки у единственного поставщика;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введение механизма оказания содействия участникам закупки по вопросам, связанным с получением электронной подписи, формированием заявок, а также правовым сопровождением при осуществлении закупок;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расширение участия субъектов малого и среднего предпринимательства в закупках товаров, работ, услуг, осуществляемых с использованием конкурентных способов определения поставщиков (подрядчиков, исполнителей);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в) на включение в программы по повышению качества управления закупочной деятельностью субъектов естественных монополий и компаний с государственным участием следующих показателей эффективности: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прирост объема закупок у субъектов малого и среднего предпринимательства;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увеличение количества участников закупок из числа субъектов малого и среднего предпринимательства;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увеличение количества поставщиков (подрядчиков, исполнителей) из числа </w:t>
      </w:r>
      <w:r>
        <w:lastRenderedPageBreak/>
        <w:t>субъектов малого и среднего предпринимательства и количества договоров, заключаемых с субъектами малого и среднего предпринимательства;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экономия средств заказчика за счет участия в закупках субъектов малого и среднего предпринимательства;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на устранение избыточного государственного и муниципального регулирования, а также на снижение административных барьеров, включая: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проведение анализа практики реализации государственных функций и услуг, относящихся к полномочиям субъекта Российской Федерации, а также муниципальных функций и услуг на предмет соответствия такой практики </w:t>
      </w:r>
      <w:hyperlink r:id="rId9" w:history="1">
        <w:r>
          <w:rPr>
            <w:color w:val="0000FF"/>
          </w:rPr>
          <w:t>статьям 15</w:t>
        </w:r>
      </w:hyperlink>
      <w:r>
        <w:t xml:space="preserve"> и </w:t>
      </w:r>
      <w:hyperlink r:id="rId10" w:history="1">
        <w:r>
          <w:rPr>
            <w:color w:val="0000FF"/>
          </w:rPr>
          <w:t>16</w:t>
        </w:r>
      </w:hyperlink>
      <w:r>
        <w:t xml:space="preserve"> Федерального закона "О защите конкуренции";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осуществление перевода услуг в разряд бесплатных государственных услуг, относящихся к полномочиям субъекта Российской Федерации, а также муниципальных услуг, предоставление которых является необходимым условием ведения предпринимательской деятельности;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оптимизацию процесса предоставления государственных услуг, относящихся к полномочиям субъекта Российской Федерации, а также муниципальных услуг для субъектов предпринимательской деятельности путем сокращения сроков их предоставления, снижения стоимости предоставления таких услуг, а также перевода их предоставления в электронную форму;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наличие в порядках проведения оценки регулирующего воздействия проектов нормативных правовых актов субъекта Российской Федерации и муниципальных образований и экспертизы нормативных правовых актов субъекта Российской Федерации и муниципальных образований, устанавливаемых в соответствии с федеральными законами "</w:t>
      </w:r>
      <w:hyperlink r:id="rId11" w:history="1">
        <w:r>
          <w:rPr>
            <w:color w:val="0000FF"/>
          </w:rPr>
          <w:t>Об общих принципах организации</w:t>
        </w:r>
      </w:hyperlink>
      <w:r>
        <w:t xml:space="preserve"> законодательных (представительных) и исполнительных органов государственной власти субъектов Российской Федерации" и "</w:t>
      </w:r>
      <w:hyperlink r:id="rId12" w:history="1">
        <w:r>
          <w:rPr>
            <w:color w:val="0000FF"/>
          </w:rPr>
          <w:t>Об общих принципах организации местного самоуправления</w:t>
        </w:r>
      </w:hyperlink>
      <w:r>
        <w:t xml:space="preserve"> в Российской Федерации", пунктов, предусматривающих</w:t>
      </w:r>
      <w:proofErr w:type="gramEnd"/>
      <w:r>
        <w:t xml:space="preserve"> анализ воздействия таких проектов актов на состояние конкуренции, а также соответствующего аналитического инструментария (инструкций, форм, стандартов и др.);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 xml:space="preserve">) на совершенствование процессов управления в рамках </w:t>
      </w:r>
      <w:proofErr w:type="gramStart"/>
      <w:r>
        <w:t>полномочий органов исполнительной власти субъектов Российской Федерации</w:t>
      </w:r>
      <w:proofErr w:type="gramEnd"/>
      <w:r>
        <w:t xml:space="preserve"> или органов местного самоуправления, закрепленных за ними законодательством Российской Федерации, объектами государственной собственности субъекта Российской Федерации и муниципальной собственности, а также на ограничение влияния государственных и муниципальных предприятий на конкуренцию, включая: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разработку, утверждение и выполнение комплексного плана по эффективному управлению государственными и муниципальными предприятиями и учреждениями, акционерными обществами с государственным участием, государственными и муниципальными некоммерческими организациями, осуществляющими предпринимательскую деятельность, в котором </w:t>
      </w:r>
      <w:proofErr w:type="gramStart"/>
      <w:r>
        <w:t>содержатся</w:t>
      </w:r>
      <w:proofErr w:type="gramEnd"/>
      <w:r>
        <w:t xml:space="preserve"> в том числе ключевые показатели эффективности деятельности, целевые показатели доли государственного и муниципального участия (сектора) в различных отраслях экономики, программа (план) приватизации государственных унитарных предприятий и пакетов акций акционерных обществ, находящихся в собственности субъекта Российской Федерации и муниципальной собственности, с учетом задачи развития конкуренции, а также меры по </w:t>
      </w:r>
      <w:r>
        <w:lastRenderedPageBreak/>
        <w:t>ограничению влияния государственных и муниципальных предприятий на условия формирования рыночных отношений;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организацию и проведение публичных торгов или иных конкурентных способов определения поставщиков (подрядчиков, исполнителей) при реализации или предоставлении во владение и (или) пользование, в том числе субъектам малого и среднего предпринимательства, имущества хозяйствующими субъектами, доля участия субъекта Российской Федерации или муниципального образования в которых составляет 50 и более процентов;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создание условий, в соответствии с которыми указанные хозяйствующие субъекты при допуске к участию в закупках товаров, работ, услуг для обеспечения государственных и муниципальных нужд принимают участие в указанных закупках на равных условиях с иными хозяйствующими субъектами;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е) на создание условий для </w:t>
      </w:r>
      <w:proofErr w:type="spellStart"/>
      <w:r>
        <w:t>недискриминационного</w:t>
      </w:r>
      <w:proofErr w:type="spellEnd"/>
      <w:r>
        <w:t xml:space="preserve"> доступа хозяйствующих субъектов на товарные рынки;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ж) на обеспечение и сохранение целевого использования государственных (муниципальных) объектов недвижимого имущества в социальной сфере;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з</w:t>
      </w:r>
      <w:proofErr w:type="spellEnd"/>
      <w:r>
        <w:t xml:space="preserve">) на содействие развитию практики применения механизмов государственно-частного и </w:t>
      </w:r>
      <w:proofErr w:type="spellStart"/>
      <w:r>
        <w:t>муниципально-частного</w:t>
      </w:r>
      <w:proofErr w:type="spellEnd"/>
      <w:r>
        <w:t xml:space="preserve"> партнерства, в том числе практики заключения концессионных соглашений, в социальной сфере (детский отдых и оздоровление, спорт, здравоохранение, социальное обслуживание, дошкольное образование, культура, развитие сетей подвижной радиотелефонной связи в сельской местности, малонаселенных и труднодоступных районах);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и) на содействие развитию негосударственных (немуниципальных) социально ориентированных некоммерческих организаций и "социального предпринимательства", включая наличие в региональных программах поддержки социально ориентированных некоммерческих организаций и (или) субъектов малого и среднего предпринимательства, в том числе индивидуальных предпринимателей, мероприятий, направленных на поддержку негосударственного (немуниципального) сектора и развитие "социального предпринимательства" в таких сферах, как дошкольное, общее образование, детский отдых и оздоровление детей, дополнительное образование</w:t>
      </w:r>
      <w:proofErr w:type="gramEnd"/>
      <w:r>
        <w:t xml:space="preserve"> детей, производство на территории Российской Федерации технических средств реабилитации для лиц с ограниченными возможностями, включая мероприятия по развитию инфраструктуры поддержки социально ориентированных некоммерческих организаций и "социального предпринимательства";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к) на стимулирование новых предпринимательских инициатив за счет проведения образовательных мероприятий, обеспечивающих возможности для поиска, отбора и обучения потенциальных предпринимателей, в том числе путем разработки и реализации региональной программы по ускоренному развитию субъектов малого и среднего предпринимательства и достижения показателей ее эффективности;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л) на развитие механизмов поддержки технического и научно-технического творчества детей и молодежи, обучения их правовой, технологической грамотности и основам цифровой экономики, в том числе в рамках стационарных загородных лагерей с соответствующим специализированным уклоном, а также на повышение их информированности о потенциальных возможностях саморазвития, обеспечения поддержки научной, творческой и предпринимательской активности;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lastRenderedPageBreak/>
        <w:t>м) на повышение в субъекте Российской Федерации цифровой грамотности населения, государственных гражданских служащих и работников бюджетной сферы в рамках соответствующей региональной программы;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н</w:t>
      </w:r>
      <w:proofErr w:type="spellEnd"/>
      <w:r>
        <w:t>) на выявление одаренных детей и молодежи, развитие их талантов и способностей, в том числе с использованием механизмов наставничества и дистанционного обучения в электронной форме, а также социальную поддержку молодых специалистов в различных сферах экономической деятельности;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о) на обеспечение равных условий доступа к информации о государственном имуществе субъекта Российской Федерации и имуществе, находящемся в собственности муниципальных образований,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государственной собственности</w:t>
      </w:r>
      <w:proofErr w:type="gramEnd"/>
      <w:r>
        <w:t xml:space="preserve"> субъекта Российской Федерации и муниципальной собственности, путем размещения указанной информации на официальном сайте Российской Федерации в сети "Интернет" для размещения информации о проведении торгов (</w:t>
      </w:r>
      <w:proofErr w:type="spellStart"/>
      <w:r>
        <w:t>www.torgi.gov.ru</w:t>
      </w:r>
      <w:proofErr w:type="spellEnd"/>
      <w:r>
        <w:t>) и на официальном сайте уполномоченного органа в сети "Интернет";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п</w:t>
      </w:r>
      <w:proofErr w:type="spellEnd"/>
      <w:r>
        <w:t>) на мобильность трудовых ресурсов, способствующую повышению эффективности труда, включающую предварительное исследование потребностей товарного рынка, обучение и привлечение рабочей силы с квалификацией, соответствующей потребностям товарного рынка, в том числе привлечение высококвалифицированной рабочей силы из-за рубежа (приоритетом являются научно-технологические кадры);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р</w:t>
      </w:r>
      <w:proofErr w:type="spellEnd"/>
      <w:r>
        <w:t>) на содействие развитию и поддержке междисциплинарных исследований, включая обеспечение условий для коммерциализации и промышленного масштабирования результатов, полученных по итогам проведения таких исследований;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 xml:space="preserve">с) на развитие механизмов практико-ориентированного (дуального) образования и механизмов кадрового обеспечения высокотехнологичных отраслей промышленности по сквозным рабочим профессиям (с учетом стандартов и разработок международной организации </w:t>
      </w:r>
      <w:proofErr w:type="spellStart"/>
      <w:r>
        <w:t>Ворлдскиллс</w:t>
      </w:r>
      <w:proofErr w:type="spellEnd"/>
      <w:r>
        <w:t xml:space="preserve"> </w:t>
      </w:r>
      <w:proofErr w:type="spellStart"/>
      <w:r>
        <w:t>Интернешнл</w:t>
      </w:r>
      <w:proofErr w:type="spellEnd"/>
      <w:r>
        <w:t xml:space="preserve"> (</w:t>
      </w:r>
      <w:proofErr w:type="spellStart"/>
      <w:r>
        <w:t>WorldSkills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), а также на содействие включению обучающихся, выпускников и молодых специалистов с инвалидностью или ограниченными возможностями здоровья в трудовую деятельность с учетом стандартов и разработок Международной федерации </w:t>
      </w:r>
      <w:proofErr w:type="spellStart"/>
      <w:r>
        <w:t>Абилимпикс</w:t>
      </w:r>
      <w:proofErr w:type="spellEnd"/>
      <w:r>
        <w:t xml:space="preserve"> (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Abilympic</w:t>
      </w:r>
      <w:proofErr w:type="spellEnd"/>
      <w:r>
        <w:t xml:space="preserve"> </w:t>
      </w:r>
      <w:proofErr w:type="spellStart"/>
      <w:r>
        <w:t>Federation</w:t>
      </w:r>
      <w:proofErr w:type="spellEnd"/>
      <w:r>
        <w:t>);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>т) на создание институциональной среды, способствующей внедрению инноваций и увеличению возможности хозяйствующих субъектов по внедрению новых технологических решений;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у) на содействие созданию и развитию институтов поддержки субъектов малого предпринимательства в инновационной деятельности (прежде всего финансирование начальной стадии развития организации и гарантия непрерывности поддержки), обеспечивающих благоприятную экономическую среду для среднего и крупного бизнеса;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proofErr w:type="gramStart"/>
      <w:r>
        <w:t>ф</w:t>
      </w:r>
      <w:proofErr w:type="spellEnd"/>
      <w:r>
        <w:t xml:space="preserve">) на повышение уровня финансовой грамотности населения (потребителей) и субъектов малого и среднего предпринимательства, в том числе путем увеличения доли населения субъекта Российской Федерации, прошедшего обучение по повышению финансовой грамотности в рамках </w:t>
      </w:r>
      <w:hyperlink r:id="rId13" w:history="1">
        <w:r>
          <w:rPr>
            <w:color w:val="0000FF"/>
          </w:rPr>
          <w:t>Стратегии</w:t>
        </w:r>
      </w:hyperlink>
      <w:r>
        <w:t xml:space="preserve"> повышения финансовой грамотности в Российской Федерации на 2017 - 2023 годы, утвержденной распоряжением Правительства Российской Федерации от 25 сентября 2017 г. N 2039-р;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lastRenderedPageBreak/>
        <w:t>х</w:t>
      </w:r>
      <w:proofErr w:type="spellEnd"/>
      <w:r>
        <w:t>) на увеличение доли опрошенного населения, положительно оценивающего удовлетворенность (полностью или частично удовлетворенного) работой хотя бы одного типа финансовых организаций, осуществляющих свою деятельность на территории субъекта Российской Федерации;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ц</w:t>
      </w:r>
      <w:proofErr w:type="spellEnd"/>
      <w:r>
        <w:t>) на повышение доступности финансовых услуг для субъектов экономической деятельности;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ч) на реализацию мер, направленных на выравнивание условий конкуренции как в рамках товарных рынков внутри субъекта Российской Федерации (включая темпы роста цен), так и между субъектами Российской Федерации (включая темпы роста и уровни цен);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ш</w:t>
      </w:r>
      <w:proofErr w:type="spellEnd"/>
      <w:r>
        <w:t>) на обучение государственных гражданских служащих органов исполнительной власти субъекта Российской Федерации и работников их подведомственных предприятий и учреждений основам государственной политики в области развития конкуренции и антимонопольного законодательства Российской Федерации;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щ</w:t>
      </w:r>
      <w:proofErr w:type="spellEnd"/>
      <w:r>
        <w:t>) на разработку и утверждение типового административного регламента предоставления муниципальной услуги по выдаче разрешения на строительство для целей возведения (создания) антенно-мачтовых сооружений (объектов) для услуг связи, а также на разработку и утверждение типовых проектов для целей их повторного применения при возведении (создании) антенно-мачтовых сооружений (объектов) для услуг связи;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ы</w:t>
      </w:r>
      <w:proofErr w:type="spellEnd"/>
      <w:r>
        <w:t>) на организацию в государственных жилищных инспекциях в субъектах Российской Федерации горячей телефонной линии, а также электронной формы обратной связи в сети "Интернет" (с возможностью прикрепления файлов фото- и видеосъемки);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э) на разработку и утверждение типового административного регламента предоставления муниципальной услуги по выдаче разрешения на строительство и типового административного регламента предоставления муниципальной услуги по выдаче разрешений на ввод объекта в эксплуатацию при осуществлении строительства, реконструкции, капитального ремонта объектов капитального строительства, внедрение которых целесообразно осуществить на всей территории субъекта Российской Федерации, в рамках соответствующего соглашения или меморандума между органами исполнительной власти</w:t>
      </w:r>
      <w:proofErr w:type="gramEnd"/>
      <w:r>
        <w:t xml:space="preserve"> субъекта Российской Федерации и органами местного самоуправления.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31. "Дорожная карта" должна содержать следующую информацию: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а) исходная фактическая информация (в том числе в числовом выражении) в отношении ситуации, сложившейся в каждой отрасли (сфере) экономики (на отдельных товарных рынках) субъекта Российской Федерации, и ее проблематики;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б) сведения о мероприятиях (с указанием срока их разработки и реализации), обеспечивающих достижение установленных результатов (целей);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в) результаты (цели) и ключевые показатели развития конкуренции (с указанием срока их достижения);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г) сведения </w:t>
      </w:r>
      <w:proofErr w:type="gramStart"/>
      <w:r>
        <w:t>о</w:t>
      </w:r>
      <w:proofErr w:type="gramEnd"/>
      <w:r>
        <w:t xml:space="preserve"> исполнителях и соисполнителях, ответственных за разработку и реализацию мероприятий, обеспечивающих достижение установленных результатов (целей).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lastRenderedPageBreak/>
        <w:t xml:space="preserve">32. Планируется, что мероприятия, предусмотренные "дорожной картой", затронут все сферы </w:t>
      </w:r>
      <w:proofErr w:type="gramStart"/>
      <w:r>
        <w:t>деятельности органов исполнительной власти субъекта Российской Федерации</w:t>
      </w:r>
      <w:proofErr w:type="gramEnd"/>
      <w:r>
        <w:t xml:space="preserve"> и органов местного самоуправления при возможном взаимодействии по </w:t>
      </w:r>
      <w:proofErr w:type="spellStart"/>
      <w:r>
        <w:t>соисполнению</w:t>
      </w:r>
      <w:proofErr w:type="spellEnd"/>
      <w:r>
        <w:t xml:space="preserve"> этих мероприятий (предусматриваемом в рамках соглашения) в соответствии с реализуемыми функциями и полномочиями, напрямую или косвенно влияющими на развитие конкуренции.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33. Предусматривается включение в "дорожную карту" самостоятельных мероприятий, не входящих в планы мероприятий иных стратегических и программных документов субъекта Российской Федерации. Мероприятия, предусмотренные иными утвержденными в установленном порядке на федеральном уровне и (или) на уровне субъекта Российской Федерации стратегическими и программными документами, реализация которых оказывает влияние на состояние конкуренции, служат неотъемлемым дополнением к мероприятиям, предусмотренным "дорожной картой", и указываются в приложении к ней.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34. С учетом соглашения в "дорожную карту" могут включаться мероприятия в отношении муниципальных образований.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35. </w:t>
      </w:r>
      <w:proofErr w:type="gramStart"/>
      <w:r>
        <w:t>Каждому органу исполнительной власти субъекта Российской Федерации и каждому органу местного самоуправления, являющимся ответственными за выполнение мероприятий, предусмотренных "дорожной картой", рекомендуется разработать и утвердить план по реализации таких мероприятий.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>36. Предполагается, что проект "дорожной карты" должен рассматриваться, одобряться и выноситься на рассмотрение высшего должностного лица коллегиальным органом.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37. Информация о "дорожной карте" и реализации ее отдельных мероприятий размещается на официальном сайте уполномоченного органа в сети "Интернет".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Title"/>
        <w:jc w:val="center"/>
        <w:outlineLvl w:val="1"/>
      </w:pPr>
      <w:r>
        <w:t>VI. Проведение мониторинга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Normal"/>
        <w:ind w:firstLine="540"/>
        <w:jc w:val="both"/>
      </w:pPr>
      <w:r>
        <w:t xml:space="preserve">38. </w:t>
      </w:r>
      <w:proofErr w:type="gramStart"/>
      <w:r>
        <w:t>Уполномоченный орган ежегодно организует проведение мониторинга, для эффективности которого высшим должностным лицом субъекта Российской Федерации и высшими должностными лицами субъектов Российской Федерации, имеющих с указанным субъектом Российской Федерации общие территориальные границы, может быть заключено соглашение о проведении исследования межрегиональных границ товарных рынков, а также возможности согласованной разработки и реализации совместных мероприятий в рамках внедрения стандарта в таких субъектах Российской Федерации</w:t>
      </w:r>
      <w:proofErr w:type="gramEnd"/>
      <w:r>
        <w:t>.</w:t>
      </w:r>
    </w:p>
    <w:p w:rsidR="00FB065C" w:rsidRDefault="00FB065C">
      <w:pPr>
        <w:pStyle w:val="ConsPlusNormal"/>
        <w:spacing w:before="240"/>
        <w:ind w:firstLine="540"/>
        <w:jc w:val="both"/>
      </w:pPr>
      <w:bookmarkStart w:id="2" w:name="P204"/>
      <w:bookmarkEnd w:id="2"/>
      <w:r>
        <w:t>39. Мониторинг включает в себя: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а) мониторинг наличия (отсутствия) административных барьеров и оценки состояния конкуренции субъектами предпринимательской деятельности, предусматривающий: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выделение групп субъектов предпринимательской деятельности (малый, средний, крупный бизнес), а также вида деятельности (наименование товарного рынка, на котором субъект предпринимательской деятельности, представляющий свою оценку состояния конкуренции, осуществляет фактическую предпринимательскую деятельность);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сбор данных о состоянии и изменении конкуренции, а также построение на основе </w:t>
      </w:r>
      <w:r>
        <w:lastRenderedPageBreak/>
        <w:t>указанных данных репрезентативных оценок в отношении субъекта Российской Федерации и сегментов бизнеса;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сбор данных о наличии и уровне административных барьеров в сферах регулирования, в том числе данных о наличии жалоб в надзорные органы по этой проблематике и динамике их поступления в сравнении с предыдущим отчетным периодом, а также формирование на основе указанных данных репрезентативных оценок в отношении субъекта Российской Федерации и сегментов бизнеса;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сбор данных о возможностях </w:t>
      </w:r>
      <w:proofErr w:type="spellStart"/>
      <w:r>
        <w:t>недискриминационного</w:t>
      </w:r>
      <w:proofErr w:type="spellEnd"/>
      <w:r>
        <w:t xml:space="preserve"> доступа на товарные рынки субъекта Российской Федерации, а также товарные рынки субъектов Российской Федерации, имеющих с ним общие территориальные границы, в части появления новых хозяйствующих субъектов и начала осуществления ими предпринимательской деятельности;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сбор данных о продолжительности осуществления предпринимательской деятельности хозяйствующих субъектов, деятельность которых начата в период не ранее 5 и не позже 3 лет до начала сбора указанных данных;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б) мониторинг удовлетворенности потребителей качеством товаров, работ, услуг на товарных рынках субъекта Российской Федерации и состоянием ценовой конкуренции, предусматривающий: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выделение групп потребителей товаров, работ, услуг в соответствии с их социальным статусом (учащиеся, пенсионеры и др.);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сбор данных о восприятии и динамике оценки потребителями состояния конкуренции между продавцами товаров, работ, услуг в субъекте Российской Федерации посредством ценообразования;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сбор данных об удовлетворенности потребителей, приобретавших товар, работу, услугу в определенный период, качеством товара, работы, услуги на основе данных о наличии жалоб со стороны потребителей в надзорные органы по указанной проблематике и динамике их поступления в сравнении с предыдущим отчетным периодом;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сбор данных об удовлетворенности потребителей, приобретавших товар, работу, услугу в определенный период, качеством товаров, работ, услуг, произведенных (оказываемых) в субъекте Российской Федерации, а также произведенных (оказываемых) соответственно в субъектах Российской Федерации, имеющих с ним общие территориальные границы;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>в) мониторинг удовлетворенности субъектов предпринимательской деятельности и потребителей товаров, работ, услуг качеством (в том числе уровнем доступности, понятности и удобства получения) официальной информации о состоянии конкуренции на товарных рынках субъекта Российской Федерации и деятельности по содействию развитию конкуренции, размещаемой уполномоченным органом и муниципальными образованиями;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мониторинг деятельности субъектов естественных монополий на территории субъекта Российской Федерации, предусматривающий: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формирование перечня товарных рынков, на которых присутствуют субъекты естественных монополий;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lastRenderedPageBreak/>
        <w:t>сбор данных о развитии конкуренции и удовлетворенности качеством товаров, работ, услуг на выявленных товарных рынках как со стороны субъектов предпринимательской деятельности, взаимодействующих прямо или косвенно в экономической деятельности с субъектами естественных монополий, в том числе в электронном виде, так и со стороны потребителей товаров, работ, услуг, предоставляемых субъектами естественных монополий;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сбор и анализ данных об уровнях тарифов (цен), установленных уполномоченным органом исполнительной власти субъекта Российской Федерации в области государственного регулирования тарифов, за текущий и прошедший периоды;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>сбор и анализ данных о количестве нарушений субъектами естественных монополий установленных тарифов в соответствующих сферах регулирования (электроэнергетика, теплоснабжение, водоснабжение и водоотведение, газоснабжение) с учетом тарифов на технологическое подключение к указанным видам инфраструктуры;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сбор данных об оценках эффективности реализации инвестиционной программы и отдельных инвестиционных проектов субъектов естественных монополий на основании оценок, осуществляемых представителями потребителей товаров, работ, услуг, задействованными в механизмах общественного </w:t>
      </w:r>
      <w:proofErr w:type="gramStart"/>
      <w:r>
        <w:t>контроля за</w:t>
      </w:r>
      <w:proofErr w:type="gramEnd"/>
      <w:r>
        <w:t xml:space="preserve"> деятельностью субъектов естественных монополий;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 xml:space="preserve">сбор и анализ данных об оказываемых </w:t>
      </w:r>
      <w:proofErr w:type="spellStart"/>
      <w:r>
        <w:t>ресурсоснабжающими</w:t>
      </w:r>
      <w:proofErr w:type="spellEnd"/>
      <w:r>
        <w:t xml:space="preserve"> организациями и субъектами естественных монополий услугах по подключению (технологическому присоединению) к сетям инженерно-технического обеспечения в электронном виде, а также об оказании указанных услуг на базе многофункциональных центров предоставления государственных и муниципальных услуг;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proofErr w:type="gramStart"/>
      <w:r>
        <w:t>д</w:t>
      </w:r>
      <w:proofErr w:type="spellEnd"/>
      <w:r>
        <w:t>) мониторинг деятельности хозяйствующих субъектов, доля участия субъекта Российской Федерации или муниципального образования в которых составляет 50 и более процентов, предусматривающий формирование реестра указанных хозяйствующих субъектов, осуществляющих деятельность на территории субъекта Российской Федерации (за исключением предприятий, осуществляющих деятельность в сферах, связанных с обеспечением обороны и безопасности государства, а также включенных в перечень стратегических предприятий), с обозначением товарного рынка их присутствия</w:t>
      </w:r>
      <w:proofErr w:type="gramEnd"/>
      <w:r>
        <w:t xml:space="preserve">, </w:t>
      </w:r>
      <w:proofErr w:type="gramStart"/>
      <w:r>
        <w:t>на котором осуществляется такая деятельность, а также с указанием доли занимаемого товарного рынка каждого такого хозяйствующего субъекта (в том числе объема (доли) выручки в общей величине стоимостного оборота товарного рынка, объема (доли) реализованных на товарном рынке товаров, работ, услуг в натуральном выражении, объема финансирования из бюджета субъекта Российской Федерации и бюджетов муниципальных образований);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>е) мониторинг удовлетворенности населения деятельностью в сфере финансовых услуг, осуществляемой на территории субъекта Российской Федерации, предусматривающий: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сбор данных об уровне удовлетворенности населения деятельностью финансовых организаций на территории субъекта Российской Федерации, а также различными финансовыми продуктами и услугами (в рамках кредитования, сбережения и размещения свободных денежных средств, оказания платежных услуг, услуг страхования), в том числе их качеством, доступностью, стоимостью и др.;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 xml:space="preserve">анализ собранных данных в целом по населению и по выделенным группам </w:t>
      </w:r>
      <w:r>
        <w:lastRenderedPageBreak/>
        <w:t xml:space="preserve">населения в соответствии с их основным занятием (работающий по найму, предприниматель, </w:t>
      </w:r>
      <w:proofErr w:type="spellStart"/>
      <w:r>
        <w:t>самозанятый</w:t>
      </w:r>
      <w:proofErr w:type="spellEnd"/>
      <w:r>
        <w:t>, пенсионер (в том числе по инвалидности), учащийся, студент, временно не работающий, безработный и др.) по субъекту Российской Федерации, в том числе в сравнении с результатами общероссийского опроса, проводимого Центральным банком Российской Федерации в рамках мониторинга финансовой доступности</w:t>
      </w:r>
      <w:proofErr w:type="gramEnd"/>
      <w:r>
        <w:t xml:space="preserve">, </w:t>
      </w:r>
      <w:proofErr w:type="gramStart"/>
      <w:r>
        <w:t>результаты</w:t>
      </w:r>
      <w:proofErr w:type="gramEnd"/>
      <w:r>
        <w:t xml:space="preserve"> которого ежегодно публикуются на официальном сайте в сети "Интернет";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ж) мониторинг доступности для населения финансовых услуг, оказываемых на территории субъекта Российской Федерации, предусматривающий: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использование официальной статистики Центрального банка Российской Федерации в отношении деятельности финансовых организаций;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сбор данных об использовании населением финансовых продуктов и услуг различных финансовых организаций в определенный период (за последний год до опроса) и на конец периода (на дату опроса), возможности использования различных способов доступа к финансовым услугам (в том числе дистанционным), а также существующих барьерах для доступа к финансовым услугам;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сбор данных об оценке населением своего уровня финансовой грамотности (осведомленности, знаний, навыков, установок и поведения);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 xml:space="preserve">анализ собранных данных в целом по населению и по выделенным группам населения в соответствии с их основным занятием (работающий по найму, предприниматель, </w:t>
      </w:r>
      <w:proofErr w:type="spellStart"/>
      <w:r>
        <w:t>самозанятый</w:t>
      </w:r>
      <w:proofErr w:type="spellEnd"/>
      <w:r>
        <w:t>, пенсионер (в том числе по инвалидности), учащийся, студент, временно не работающий, безработный и др.) по субъекту Российской Федерации, в том числе в сравнении с результатами общероссийского опроса, проводимого Центральным банком Российской Федерации в рамках мониторинга финансовой доступности</w:t>
      </w:r>
      <w:proofErr w:type="gramEnd"/>
      <w:r>
        <w:t xml:space="preserve">, </w:t>
      </w:r>
      <w:proofErr w:type="gramStart"/>
      <w:r>
        <w:t>результаты</w:t>
      </w:r>
      <w:proofErr w:type="gramEnd"/>
      <w:r>
        <w:t xml:space="preserve"> которого ежегодно публикуются на официальном сайте в сети "Интернет";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proofErr w:type="gramStart"/>
      <w:r>
        <w:t>з</w:t>
      </w:r>
      <w:proofErr w:type="spellEnd"/>
      <w:r>
        <w:t xml:space="preserve">) мониторинг цен (с учетом динамики) на товары, входящие в </w:t>
      </w:r>
      <w:hyperlink r:id="rId14" w:history="1">
        <w:r>
          <w:rPr>
            <w:color w:val="0000FF"/>
          </w:rPr>
          <w:t>перечень</w:t>
        </w:r>
      </w:hyperlink>
      <w:r>
        <w:t xml:space="preserve"> отдельных видов социально значимых продовольственных товаров первой необходимости, в отношении которых могут устанавливаться предельно допустимые розничные цены, утвержденный постановлением Правительства Российской Федерации от 15 июля 2010 г. N 530 "Об утверждении Правил установления предельно допустимых розничных цен на отдельные виды социально значимых продовольственных товаров первой необходимости, перечня отдельных видов</w:t>
      </w:r>
      <w:proofErr w:type="gramEnd"/>
      <w:r>
        <w:t xml:space="preserve"> </w:t>
      </w:r>
      <w:proofErr w:type="gramStart"/>
      <w:r>
        <w:t>социально значимых продовольственных товаров первой необходимости, в отношении которых могут устанавливаться предельно допустимые розничные цены, и перечня отдельных видов социально значимых продовольственных товаров, за приобретение определенного количества которых хозяйствующему субъекту, осуществляющему торговую деятельность, не допускается выплата вознаграждения", а также проведение оценки факторов, способных оказать влияние на такие цены (например, изменение стоимости топлива, электрической энергии, основного сырья в пищевом производстве, аренды</w:t>
      </w:r>
      <w:proofErr w:type="gramEnd"/>
      <w:r>
        <w:t xml:space="preserve"> и т.п.);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 xml:space="preserve">и) мониторинг </w:t>
      </w:r>
      <w:proofErr w:type="spellStart"/>
      <w:r>
        <w:t>логистических</w:t>
      </w:r>
      <w:proofErr w:type="spellEnd"/>
      <w:r>
        <w:t xml:space="preserve"> возможностей субъекта Российской Федерации с учетом </w:t>
      </w:r>
      <w:proofErr w:type="spellStart"/>
      <w:r>
        <w:t>логистических</w:t>
      </w:r>
      <w:proofErr w:type="spellEnd"/>
      <w:r>
        <w:t xml:space="preserve"> возможностей субъектов Российской Федерации, имеющих с ним общие территориальные границы, включающий сбор и анализ данных об обеспеченности его транспортной инфраструктурой, времени и объеме ее пропускной способности, существующих транспортных </w:t>
      </w:r>
      <w:proofErr w:type="spellStart"/>
      <w:r>
        <w:t>хабах</w:t>
      </w:r>
      <w:proofErr w:type="spellEnd"/>
      <w:r>
        <w:t xml:space="preserve"> и потенциале создания новых, а также о сервисной и сопутствующей инфраструктуре, необходимой как для транспортных средств, так и для </w:t>
      </w:r>
      <w:r>
        <w:lastRenderedPageBreak/>
        <w:t>работников, задействованных</w:t>
      </w:r>
      <w:proofErr w:type="gramEnd"/>
      <w:r>
        <w:t xml:space="preserve"> в этом сегменте, включая наличие стабильной подвижной радиотелефонной связи на удаленных дорогах;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к) мониторинг развития передовых производственных технологий и их внедрения, а также процесса </w:t>
      </w:r>
      <w:proofErr w:type="spellStart"/>
      <w:r>
        <w:t>цифровизации</w:t>
      </w:r>
      <w:proofErr w:type="spellEnd"/>
      <w:r>
        <w:t xml:space="preserve"> экономики и формирования ее новых рынков и секторов.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40. При проведении мониторинга уполномоченный орган использует в том числе: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а) результаты опросов субъектов предпринимательской деятельности, экспертов, потребителей товаров, работ, услуг, проводимых уполномоченным органом, общероссийскими общественными организациями (в том числе Общероссийской общественной организацией малого и среднего предпринимательства "ОПОРА РОССИИ", Общероссийской общественной организацией "Деловая Россия", Общероссийской общественной организацией "Российский союз промышленников и предпринимателей", Торгово-промышленной палатой Российской Федерации), ассоциациями (союзами) и организациями, представляющими интересы потребителей;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>б) обращения субъектов предпринимательской деятельности, экспертов, потребителей товаров, работ, услуг, касающиеся состояния конкуренции, в органы исполнительной власти субъекта Российской Федерации, политические и общественные организации, в частности организации, представляющие интересы субъектов предпринимательской деятельности и потребителей товаров, работ, услуг;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в) информацию о результатах деятельности территориальных органов федеральных органов исполнительной власти, в том числе Федеральной антимонопольной службы, Федеральной налоговой службы, Федеральной службы государственной статистики, Федеральной службы государственной регистрации, кадастра и картографии и Федеральной службы по надзору в сфере защиты прав потребителей и благополучия человека, с которыми для получения указанной информации предполагается заключение соответствующих соглашений;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г) информацию научных, исследовательских, аналитических и проектных организаций, в том числе структурных подразделений федерального государственного бюджетного учреждения "Российская академия наук" в субъекте Российской Федерации (при наличии), экспертные оценки состояния товарных рынков и отраслей региональной экономики, информацию хозяйствующих субъектов об их деятельности, а также иные данные, в том числе данные, опубликованные в средствах массовой информации;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>) информацию о результатах мониторинга, организация проведения которого планируется в рамках соглашения и может стать частью мероприятий, предусмотренных "дорожной картой", осуществляемого муниципальными образованиями;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е) показатели, характеризующие состояние экономики и социальной сферы каждого муниципального образования;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ж) информацию о результатах общественного </w:t>
      </w:r>
      <w:proofErr w:type="gramStart"/>
      <w:r>
        <w:t>контроля за</w:t>
      </w:r>
      <w:proofErr w:type="gramEnd"/>
      <w:r>
        <w:t xml:space="preserve"> деятельностью субъектов естественных монополий;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з</w:t>
      </w:r>
      <w:proofErr w:type="spellEnd"/>
      <w:r>
        <w:t>) информацию о результатах анализа правоприменительной практики территориальных органов Федеральной антимонопольной службы, которая представляется Федеральной антимонопольной службой, в том числе о доле оспоренных в судах решений территориальных органов Федеральной антимонопольной службы, а также о доле их решений, вступивших в законную силу, с разбивкой по направлениям деятельности;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lastRenderedPageBreak/>
        <w:t>и) информацию территориальных органов Федеральной антимонопольной службы, в том числе распространяемую в рамках выявления практик по содействию развитию конкуренции и по нарушению антимонопольного законодательства Российской Федерации органами государственной власти субъектов Российской Федерации и органами местного самоуправления.</w:t>
      </w:r>
    </w:p>
    <w:p w:rsidR="00FB065C" w:rsidRDefault="00FB065C">
      <w:pPr>
        <w:pStyle w:val="ConsPlusNormal"/>
        <w:spacing w:before="240"/>
        <w:ind w:firstLine="540"/>
        <w:jc w:val="both"/>
      </w:pPr>
      <w:bookmarkStart w:id="3" w:name="P246"/>
      <w:bookmarkEnd w:id="3"/>
      <w:r>
        <w:t>41. Уполномоченный орган вправе направить в территориальное учреждение Центрального банка Российской Федерации запрос о представлении следующей информации: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а) данные по ожидаемому потребителями темпу роста цен;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б) перечни товарных рынков, на которых наблюдается значительное отклонение темпов роста цен в субъекте Российской Федерации в сравнении с уровнем цен в субъектах Российской Федерации, имеющих с таким субъектом Российской Федерации общие территориальные границы, или </w:t>
      </w:r>
      <w:proofErr w:type="spellStart"/>
      <w:r>
        <w:t>среднероссийским</w:t>
      </w:r>
      <w:proofErr w:type="spellEnd"/>
      <w:r>
        <w:t xml:space="preserve"> уровнем;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в) данные об оценке субъектами малого и среднего предпринимательства использования финансовых продуктов и услуг различных финансовых организаций в определенный период (за последний год до опроса) и на конец периода (на день опроса), а также использования различных способов доступа к финансовым услугам (в том числе дистанционным) и существующих барьеров для доступа к финансовым услугам;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>г) данные об удовлетворенности субъектами малого и среднего предпринимательства работой финансовых организаций, осуществляющих деятельность в субъекте Российской Федерации, и различными финансовыми продуктами и услугами;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>) данные об оценке субъектами малого и среднего предпринимательства своего уровня финансовой грамотности и навыков по использованию финансовых услуг и инструментов для развития бизнеса.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42. Территориальное учреждение Центрального банка Российской Федерации вправе представить в уполномоченный орган указанную в </w:t>
      </w:r>
      <w:hyperlink w:anchor="P246" w:history="1">
        <w:r>
          <w:rPr>
            <w:color w:val="0000FF"/>
          </w:rPr>
          <w:t>пункте 41</w:t>
        </w:r>
      </w:hyperlink>
      <w:r>
        <w:t xml:space="preserve"> стандарта информацию.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43. Министерство экономического развития Российской Федерации по согласованию с Федеральной антимонопольной службой, а также при участии Центрального банка Российской Федерации и автономной некоммерческой организации "Агентство стратегических инициатив по продвижению новых проектов" утверждает единую </w:t>
      </w:r>
      <w:hyperlink r:id="rId15" w:history="1">
        <w:r>
          <w:rPr>
            <w:color w:val="0000FF"/>
          </w:rPr>
          <w:t>методику</w:t>
        </w:r>
      </w:hyperlink>
      <w:r>
        <w:t xml:space="preserve"> мониторинга.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Уполномоченный орган при отсутствии единой методики мониторинга товарных рынков вправе самостоятельно определить методику проведения мониторинга в соответствии с </w:t>
      </w:r>
      <w:hyperlink w:anchor="P204" w:history="1">
        <w:r>
          <w:rPr>
            <w:color w:val="0000FF"/>
          </w:rPr>
          <w:t>пунктами 39</w:t>
        </w:r>
      </w:hyperlink>
      <w:r>
        <w:t xml:space="preserve"> - </w:t>
      </w:r>
      <w:hyperlink w:anchor="P246" w:history="1">
        <w:r>
          <w:rPr>
            <w:color w:val="0000FF"/>
          </w:rPr>
          <w:t>41</w:t>
        </w:r>
      </w:hyperlink>
      <w:r>
        <w:t xml:space="preserve"> стандарта, а также установить критерии: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а) оценки состояния конкуренции субъектами предпринимательской деятельности;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б) установления наличия и уровня административных барьеров и их оценки субъектами предпринимательской деятельности;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в) удовлетворенности потребителей качеством товаров, работ, услуг на товарных рынках субъекта Российской Федерации, а также состоянием ценовой конкуренции;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иные критерии.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lastRenderedPageBreak/>
        <w:t xml:space="preserve">44. </w:t>
      </w:r>
      <w:proofErr w:type="gramStart"/>
      <w:r>
        <w:t>На основе мониторинга наличия административных барьеров и оценки состояния конкуренции, результаты которых представляются субъектами предпринимательской деятельности, а также мониторинга удовлетворенности потребителей качеством товаров, работ, услуг на товарных рынках осуществляются формирование главных показателей для анализа деятельности и подготовка выводов и предложений по совершенствованию деятельности органов исполнительной власти субъекта Российской Федерации и органов местного самоуправления, которые могут быть включены в показатели деятельности</w:t>
      </w:r>
      <w:proofErr w:type="gramEnd"/>
      <w:r>
        <w:t xml:space="preserve"> органов исполнительной власти субъекта Российской Федерации и органов местного самоуправления (в рамках соглашения).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45. Результаты мониторинга наличия административных барьеров и оценки состояния конкуренции, представляемые субъектами предпринимательской деятельности, а также мониторинга удовлетворенности потребителей качеством товаров, работ, услуг на товарных рынках являются обязательными при анализе деятельности и планировании мероприятий по содействию развитию конкуренции и разработке показателей развития конкуренции на предстоящий период.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46. По результатам мониторинга уполномоченный орган подготавливает проект доклада, содержащий в том числе: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а) характеристику состояния конкуренции на товарных рынках, включенных в </w:t>
      </w:r>
      <w:hyperlink w:anchor="P323" w:history="1">
        <w:r>
          <w:rPr>
            <w:color w:val="0000FF"/>
          </w:rPr>
          <w:t>перечень</w:t>
        </w:r>
      </w:hyperlink>
      <w:r>
        <w:t xml:space="preserve"> товарных рынков, а также анализ факторов, ограничивающих конкуренцию;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б) данные мониторинга наличия административных барьеров и оценки состояния конкуренции субъектами предпринимательской деятельности, а также мониторинга удовлетворенности потребителей качеством товаров, работ, услуг на товарных рынках субъекта Российской Федерации;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в) информацию о результатах общественного </w:t>
      </w:r>
      <w:proofErr w:type="gramStart"/>
      <w:r>
        <w:t>контроля за</w:t>
      </w:r>
      <w:proofErr w:type="gramEnd"/>
      <w:r>
        <w:t xml:space="preserve"> деятельностью субъектов естественных монополий, а также об эффективности контрольно-надзорной деятельности в субъекте Российской Федерации;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г) анализ результативности и эффективности </w:t>
      </w:r>
      <w:proofErr w:type="gramStart"/>
      <w:r>
        <w:t>деятельности органов исполнительной власти субъекта Российской Федерации</w:t>
      </w:r>
      <w:proofErr w:type="gramEnd"/>
      <w:r>
        <w:t xml:space="preserve"> и органов местного самоуправления по содействию развитию конкуренции, включая оценку результатов реализации мероприятий, предусмотренных "дорожной картой";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spellStart"/>
      <w:proofErr w:type="gramStart"/>
      <w:r>
        <w:t>д</w:t>
      </w:r>
      <w:proofErr w:type="spellEnd"/>
      <w:r>
        <w:t>) предложения о повышении эффективности и результативности деятельности органов исполнительной власти субъекта Российской Федерации, органов местного самоуправления и территориальных органов федеральных органов исполнительной власти в области содействия развитию конкуренции, а также об улучшении качества (уровня доступности, полноты, скорости и удобства получения) официальной информации о деятельности территориальных органов федеральных органов исполнительной власти, в том числе Федеральной антимонопольной службы, Федеральной налоговой службы</w:t>
      </w:r>
      <w:proofErr w:type="gramEnd"/>
      <w:r>
        <w:t>, Федеральной службы государственной статистики, Федеральной службы государственной регистрации, кадастра и картографии и Федеральной службы по надзору в сфере защиты прав потребителей и благополучия человека;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е) оценку успешности и итогов реализации ведомственных приоритетных проектов, входящих в состав региональной приоритетной программы по внедрению стандарта, и оценку соответствия итогов реализации каждого ведомственного приоритетного проекта целям стандарта и задачам по его внедрению в субъекте Российской Федерации с указанием: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lastRenderedPageBreak/>
        <w:t>доли достигнутых показателей в общем количестве показателей;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средней суммы фактических значений достижения показателей (процентов плана);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доли показателей, по которым приняты корректирующие решения, в общем количестве показателей региональной приоритетной программы по внедрению стандарта;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доли достигнутых показателей, закрепленных за органом исполнительной власти субъекта Российской Федерации в установленной сфере ведения, в общем количестве показателей, по которым приняты корректирующие решения;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доли выполненных мероприятий в общем количестве мероприятий;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доли выполненных мероприятий в общем количестве мероприятий, по которым приняты корректирующие решения;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доли показателей, достигнутых в запланированные сроки, в общем количестве показателей в соответствии с ключевыми этапами и контрольными точками.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47. Доклад рассматривается и утверждается коллегиальным органом и размещается на официальном сайте уполномоченного органа в сети "Интернет".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48. Доклад направляется ежегодно, до 10 марта года, следующего за отчетным, уполномоченным органом в Министерство экономического развития Российской Федерации, Федеральную антимонопольную службу, Центральный банк Российской Федерации, а также автономной некоммерческой организации "Агентство стратегических инициатив по продвижению новых проектов".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49. </w:t>
      </w:r>
      <w:proofErr w:type="gramStart"/>
      <w:r>
        <w:t>Материалы доклада могут использоваться Министерством экономического развития Российской Федерации и Федеральной антимонопольной службой для формирования с участием Центрального банка Российской Федерации и автономной некоммерческой организации "Агентство стратегических инициатив по продвижению новых проектов" единой позиции при подготовке представляемых в Правительство Российской Федерации предложений о внесении в законодательство Российской Федерации изменений, направленных на развитие конкуренции и улучшение условий ведения предпринимательской деятельности в</w:t>
      </w:r>
      <w:proofErr w:type="gramEnd"/>
      <w:r>
        <w:t xml:space="preserve"> Российской Федерации.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50. На основе предложений об улучшении деятельности в области содействия развитию конкуренции, содержащихся в докладе, коллегиальный орган вносит предложения о корректировке "дорожной карты".</w:t>
      </w: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Title"/>
        <w:jc w:val="center"/>
        <w:outlineLvl w:val="1"/>
      </w:pPr>
      <w:r>
        <w:t xml:space="preserve">VII. Создание и реализация механизмов </w:t>
      </w:r>
      <w:proofErr w:type="gramStart"/>
      <w:r>
        <w:t>общественного</w:t>
      </w:r>
      <w:proofErr w:type="gramEnd"/>
    </w:p>
    <w:p w:rsidR="00FB065C" w:rsidRDefault="00FB065C">
      <w:pPr>
        <w:pStyle w:val="ConsPlusTitle"/>
        <w:jc w:val="center"/>
      </w:pPr>
      <w:proofErr w:type="gramStart"/>
      <w:r>
        <w:t>контроля за</w:t>
      </w:r>
      <w:proofErr w:type="gramEnd"/>
      <w:r>
        <w:t xml:space="preserve"> деятельностью субъектов естественных монополий</w:t>
      </w: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ind w:firstLine="540"/>
        <w:jc w:val="both"/>
      </w:pPr>
      <w:r>
        <w:t xml:space="preserve">51. </w:t>
      </w:r>
      <w:proofErr w:type="gramStart"/>
      <w:r>
        <w:t xml:space="preserve">Органами исполнительной власти субъекта Российской Федерации обеспечиваются создание и реализация механизмов общественного контроля за деятельностью субъектов естественных монополий в соответствии с </w:t>
      </w:r>
      <w:hyperlink r:id="rId16" w:history="1">
        <w:r>
          <w:rPr>
            <w:color w:val="0000FF"/>
          </w:rPr>
          <w:t>Концепцией</w:t>
        </w:r>
      </w:hyperlink>
      <w:r>
        <w:t xml:space="preserve"> создания и развития механизмов общественного контроля за деятельностью субъектов естественных монополий с участием потребителей, утвержденной распоряжением Правительства Российской Федерации от 19 сентября 2013 г. N 1689-р, а также внедрение механизма технологического и ценового аудита инвестиционных проектов субъектов естественных</w:t>
      </w:r>
      <w:proofErr w:type="gramEnd"/>
      <w:r>
        <w:t xml:space="preserve"> монополий и крупных инвестиционных проектов с государственным участием, проведение которого целесообразно осуществлять в отношении объектов сметной стоимостью от 1 млрд. рублей.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lastRenderedPageBreak/>
        <w:t>В рамках указанных механизмов обеспечивается учет мнения потребителей товаров, работ, услуг субъектов естественных монополий при осуществлении тарифного регулирования, а также при согласовании и утверждении схем территориального планирования субъектов Российской Федерации и муниципальных районов, генеральных планов поселений и городских округов.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Также могут быть учтены мнения представителей потребителей товаров, работ, услуг, задействованных в механизмах общественного </w:t>
      </w:r>
      <w:proofErr w:type="gramStart"/>
      <w:r>
        <w:t>контроля за</w:t>
      </w:r>
      <w:proofErr w:type="gramEnd"/>
      <w:r>
        <w:t xml:space="preserve"> деятельностью субъектов естественных монополий, при согласовании и утверждении инвестиционных программ субъектов естественных монополий.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Для частичного достижения этих целей органам исполнительной власти субъекта Российской Федерации в пределах установленной компетенции рекомендуется принять соответствующие правовые акты и провести информационные кампании, обеспечивающие донесение до всех участников общественного контроля информации о порядке проведения указанных процедур.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Под учетом мнения потребителей товаров, работ, услуг понимается необходимость на всех стадиях рассмотрения инвестиционных проектов (программ) субъектов естественных монополий, схем территориального планирования субъектов Российской Федерации и муниципальных районов, генеральных планов поселений и городских округов и принятия решений по тарифам получать мнения потребителей товаров, работ, услуг, предпринимателей и экспертов, задействованных в рамках общественного контроля за деятельностью субъектов естественных монополий, в случае</w:t>
      </w:r>
      <w:proofErr w:type="gramEnd"/>
      <w:r>
        <w:t xml:space="preserve"> несогласия с мнениями указанных лиц давать в письменной форме развернутые обоснованные ответы на них с указанием причин несогласия, обеспечивать для представителей таких потребителей товаров, работ, услуг полноту доступа к информации, раскрытие которой предусмотрено законодательством Российской Федерации, а также открытость и публичность указанного взаимодействия.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52. Органы исполнительной власти субъекта Российской Федерации в рамках полномочий, закрепленных за ними законодательством Российской Федерации, обеспечивают </w:t>
      </w:r>
      <w:proofErr w:type="gramStart"/>
      <w:r>
        <w:t>контроль за</w:t>
      </w:r>
      <w:proofErr w:type="gramEnd"/>
      <w:r>
        <w:t xml:space="preserve"> раскрытием информации и деятельностью субъектов естественных монополий. Высшее должностное лицо обеспечивает общественный </w:t>
      </w:r>
      <w:proofErr w:type="gramStart"/>
      <w:r>
        <w:t>контроль за</w:t>
      </w:r>
      <w:proofErr w:type="gramEnd"/>
      <w:r>
        <w:t xml:space="preserve"> деятельностью органов исполнительной власти субъекта Российской Федерации, осуществляющих регулирование деятельности субъектов естественных монополий и реализацию крупных инвестиционных проектов с государственным участием.</w:t>
      </w:r>
    </w:p>
    <w:p w:rsidR="00FB065C" w:rsidRDefault="00FB065C">
      <w:pPr>
        <w:pStyle w:val="ConsPlusNormal"/>
        <w:spacing w:before="240"/>
        <w:ind w:firstLine="540"/>
        <w:jc w:val="both"/>
      </w:pPr>
      <w:bookmarkStart w:id="4" w:name="P289"/>
      <w:bookmarkEnd w:id="4"/>
      <w:r>
        <w:t>53. Субъектам естественных монополий, осуществляющим деятельность на территории субъекта Российской Федерации, необходимо размещать для общего сведения информацию о своей деятельности, обязательное раскрытие которой предусмотрено законодательством Российской Федерации, в том числе: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а) информацию о реализуемых и планируемых к реализации на территории субъекта Российской Федерации инвестиционных программах, включая ключевые показатели эффективности реализации таких программ;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 xml:space="preserve">б) информацию о результатах технологического и ценового аудита инвестиционных проектов с указанием экспертной организации, осуществляющей технологический и ценовой аудит, об условиях заключенного с такой экспертной организацией договора на проведение технологического и ценового аудита (техническом задании, цене договора, сроках исполнения этапов работ по договору), а также об итогах экспертного обсуждения </w:t>
      </w:r>
      <w:r>
        <w:lastRenderedPageBreak/>
        <w:t>результатов технологического и ценового аудита представителями потребителей товаров, работ, услуг, задействованными</w:t>
      </w:r>
      <w:proofErr w:type="gramEnd"/>
      <w:r>
        <w:t xml:space="preserve"> в осуществлении общественного </w:t>
      </w:r>
      <w:proofErr w:type="gramStart"/>
      <w:r>
        <w:t>контроля за</w:t>
      </w:r>
      <w:proofErr w:type="gramEnd"/>
      <w:r>
        <w:t xml:space="preserve"> деятельностью субъектов естественных монополий;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в) информацию о структуре тарифов на услуги (включая проект тарифной заявки), параметрах качества и надежности предоставляемых товаров, работ, услуг, стандартах качества товаров, работ, услуг (стандартах качества обслуживания потребителей товаров, работ, услуг) и процедурах предоставления товаров, работ, услуг потребителям, а также о наличии в составе инвестиционного комитета при совете директоров субъектов естественных монополий представителей потребителей товаров, работ, услуг субъектов естественных монополий</w:t>
      </w:r>
      <w:proofErr w:type="gramEnd"/>
      <w:r>
        <w:t xml:space="preserve"> и независимых экспертов;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г) иную информацию о своей деятельности, обязательное раскрытие которой предусмотрено законодательством Российской Федерации.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54. </w:t>
      </w:r>
      <w:proofErr w:type="gramStart"/>
      <w:r>
        <w:t xml:space="preserve">Раскрытие информации, указанной в </w:t>
      </w:r>
      <w:hyperlink w:anchor="P289" w:history="1">
        <w:r>
          <w:rPr>
            <w:color w:val="0000FF"/>
          </w:rPr>
          <w:t>пункте 53</w:t>
        </w:r>
      </w:hyperlink>
      <w:r>
        <w:t xml:space="preserve"> стандарта, осуществляется в установленном законодательством Российской Федерации порядке на определяемом Правительством Российской Федерации </w:t>
      </w:r>
      <w:proofErr w:type="spellStart"/>
      <w:r>
        <w:t>интернет-портале</w:t>
      </w:r>
      <w:proofErr w:type="spellEnd"/>
      <w:r>
        <w:t>, в том числе с помощью ссылок на указанную информацию, размещенную на официальных сайтах субъектов естественных монополий и органов исполнительной власти субъекта Российской Федерации в сети "Интернет", включая интернет-портал субъекта Российской Федерации, созданный с целью информирования об инвестиционных возможностях субъекта Российской</w:t>
      </w:r>
      <w:proofErr w:type="gramEnd"/>
      <w:r>
        <w:t xml:space="preserve"> Федерации.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55. При взаимодействии с органами исполнительной власти субъекта Российской Федерации субъектам естественных монополий рекомендуется обеспечить доступность и наглядность в сети "Интернет":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а) информации о свободных резервах трансформаторной мощности с указанием и отображением на географической карте субъекта Российской Федерации ориентировочного места подключения (технологического присоединения) к сетям территориальных сетевых организаций 110-35 кВ с детализацией информации о количестве поданных заявок и заключенных договоров на технологическое присоединение, а также о планируемых сроках их строительства и реконструкции в соответствии с утвержденной инвестиционной программой;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б) информации, отображающей на географической карте субъекта Российской Федерации ориентировочное место подключения (технологического присоединения) к сетям газораспределительных станций, включая информацию о проектной мощности (пропускной способности) газораспределительных станций и наличии свободных резервов мощности и размере этих резервов, а также о планируемых сроках строительства и реконструкции газораспределительных станций в соответствии с утвержденной инвестиционной программой (с указанием перспективной мощности газораспределительных станций по окончании</w:t>
      </w:r>
      <w:proofErr w:type="gramEnd"/>
      <w:r>
        <w:t xml:space="preserve"> ее строительства, реконструкции);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>в) информации об услугах (подача заявки на технологическое присоединение, подача правоустанавливающих документов (по объекту, юридическому и физическому лицу, участку), подача заявки на заключение договора, расчет предположительной стоимости технологического присоединения, отслеживание (мониторинг) хода (статуса) технологического присоединения, получение условий технологического присоединения, заключение и получение договора о технологическом присоединении, внесение платежа по договору о технологическом присоединении, запись на прием для сдачи необходимой части</w:t>
      </w:r>
      <w:proofErr w:type="gramEnd"/>
      <w:r>
        <w:t xml:space="preserve"> документов на бумажном носителе) по подключению (технологическому </w:t>
      </w:r>
      <w:r>
        <w:lastRenderedPageBreak/>
        <w:t xml:space="preserve">присоединению) к сетям газораспределения, к электрическим сетям, к системам теплоснабжения, к централизованным системам водоснабжения и водоотведения, оказываемых в электронном виде субъектами естественных монополий и </w:t>
      </w:r>
      <w:proofErr w:type="spellStart"/>
      <w:r>
        <w:t>ресурсоснабжающими</w:t>
      </w:r>
      <w:proofErr w:type="spellEnd"/>
      <w:r>
        <w:t xml:space="preserve"> организациями физическим и юридическим лицам.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56. Объем и детализация раскрытия информации должны обеспечивать прозрачность формирования тарифов на услуги субъектов естественных монополий и отображать согласованность инвестиционных программ субъектов естественных монополий с планами территориального развития субъекта Российской Федерации и муниципальных образований, а также с иными документами стратегического планирования Российской Федерации.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Title"/>
        <w:jc w:val="center"/>
        <w:outlineLvl w:val="1"/>
      </w:pPr>
      <w:r>
        <w:t>VIII. Повышение уровня информированности субъектов</w:t>
      </w:r>
    </w:p>
    <w:p w:rsidR="00FB065C" w:rsidRDefault="00FB065C">
      <w:pPr>
        <w:pStyle w:val="ConsPlusTitle"/>
        <w:jc w:val="center"/>
      </w:pPr>
      <w:r>
        <w:t>предпринимательской деятельности и потребителей товаров,</w:t>
      </w:r>
    </w:p>
    <w:p w:rsidR="00FB065C" w:rsidRDefault="00FB065C">
      <w:pPr>
        <w:pStyle w:val="ConsPlusTitle"/>
        <w:jc w:val="center"/>
      </w:pPr>
      <w:r>
        <w:t>работ, услуг о состоянии конкуренции и деятельности</w:t>
      </w:r>
    </w:p>
    <w:p w:rsidR="00FB065C" w:rsidRDefault="00FB065C">
      <w:pPr>
        <w:pStyle w:val="ConsPlusTitle"/>
        <w:jc w:val="center"/>
      </w:pPr>
      <w:r>
        <w:t>по содействию развитию конкуренции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Normal"/>
        <w:ind w:firstLine="540"/>
        <w:jc w:val="both"/>
      </w:pPr>
      <w:r>
        <w:t xml:space="preserve">57. На официальном сайте уполномоченного органа в сети "Интернет" в отдельном разделе размещаются информация о выполнении требований стандарта и мероприятий, предусмотренных "дорожной картой", документы, принимаемые во исполнение стандарта и "дорожной карты" и в целях содействия развитию конкуренции, а также сведения об эффекте, достигнутом при внедрении стандарта. Аналогичная информация размещается в отдельном разделе </w:t>
      </w:r>
      <w:proofErr w:type="spellStart"/>
      <w:proofErr w:type="gramStart"/>
      <w:r>
        <w:t>интернет-портала</w:t>
      </w:r>
      <w:proofErr w:type="spellEnd"/>
      <w:proofErr w:type="gramEnd"/>
      <w:r>
        <w:t xml:space="preserve"> об инвестиционной деятельности в субъекте Российской Федерации.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Информация о деятельности органов исполнительной власти субъекта Российской Федерации и органов местного самоуправления (в рамках соглашения) по содействию развитию конкуренции также размещается для общего сведения в средствах массовой информации.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 xml:space="preserve">На официальном сайте уполномоченного органа в сети "Интернет" и </w:t>
      </w:r>
      <w:proofErr w:type="spellStart"/>
      <w:r>
        <w:t>интернет-портале</w:t>
      </w:r>
      <w:proofErr w:type="spellEnd"/>
      <w:r>
        <w:t xml:space="preserve"> об инвестиционной деятельности в субъекте Российской Федерации в отдельном разделе размещается информация о мерах и инфраструктуре поддержки субъектов малого и среднего предпринимательства (включая отдельный подраздел для производителей сельскохозяйственной продукции), систематизированная по приоритетам развития субъекта Российской Федерации и видам деятельности, с указанием порядка получения указанной поддержки (в том числе в виде</w:t>
      </w:r>
      <w:proofErr w:type="gramEnd"/>
      <w:r>
        <w:t xml:space="preserve"> схемы) и показателей эффективности региональной программы, в рамках которой осуществляется эта деятельность.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58. </w:t>
      </w:r>
      <w:proofErr w:type="gramStart"/>
      <w:r>
        <w:t xml:space="preserve">Общественным организациям, представляющим интересы субъектов предпринимательской деятельности и потребителей товаров, работ, услуг, а также представителям потребителей товаров, работ, услуг, задействованным в механизмах общественного контроля за деятельностью субъектов естественных монополий (в том числе с учетом результатов технологического и ценового аудита инвестиционных проектов субъектов естественных монополий), должна обеспечиваться возможность размещения на официальном сайте уполномоченного органа в сети "Интернет" либо ином специализированном </w:t>
      </w:r>
      <w:proofErr w:type="spellStart"/>
      <w:r>
        <w:t>интернет-портале</w:t>
      </w:r>
      <w:proofErr w:type="spellEnd"/>
      <w:proofErr w:type="gramEnd"/>
      <w:r>
        <w:t>: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>а) информации о своей деятельности в сфере содействия развитию конкуренции и защиты прав субъектов предпринимательской деятельности и потребителей товаров, работ, услуг;</w:t>
      </w:r>
    </w:p>
    <w:p w:rsidR="00FB065C" w:rsidRDefault="00FB065C">
      <w:pPr>
        <w:pStyle w:val="ConsPlusNormal"/>
        <w:spacing w:before="240"/>
        <w:ind w:firstLine="540"/>
        <w:jc w:val="both"/>
      </w:pPr>
      <w:proofErr w:type="gramStart"/>
      <w:r>
        <w:t xml:space="preserve">б) экспертных заключений указанных общественных организаций (представителей </w:t>
      </w:r>
      <w:r>
        <w:lastRenderedPageBreak/>
        <w:t>потребителей товаров, работ, услуг) на размещенные на официальных сайтах органов исполнительной власти субъекта Российской Федерации и органов местного самоуправления в сети "Интернет" документы и информацию;</w:t>
      </w:r>
      <w:proofErr w:type="gramEnd"/>
    </w:p>
    <w:p w:rsidR="00FB065C" w:rsidRDefault="00FB065C">
      <w:pPr>
        <w:pStyle w:val="ConsPlusNormal"/>
        <w:spacing w:before="240"/>
        <w:ind w:firstLine="540"/>
        <w:jc w:val="both"/>
      </w:pPr>
      <w:r>
        <w:t>в) вопросов и предложений, адресованных высшему должностному лицу и органам исполнительной власти субъекта Российской Федерации.</w:t>
      </w:r>
    </w:p>
    <w:p w:rsidR="00FB065C" w:rsidRDefault="00FB065C">
      <w:pPr>
        <w:pStyle w:val="ConsPlusNormal"/>
        <w:spacing w:before="240"/>
        <w:ind w:firstLine="540"/>
        <w:jc w:val="both"/>
      </w:pPr>
      <w:r>
        <w:t xml:space="preserve">59. В целях общественного </w:t>
      </w:r>
      <w:proofErr w:type="gramStart"/>
      <w:r>
        <w:t>контроля за</w:t>
      </w:r>
      <w:proofErr w:type="gramEnd"/>
      <w:r>
        <w:t xml:space="preserve"> деятельностью органов исполнительной власти субъектов Российской Федерации и органов местного самоуправления по развитию конкуренции на заседаниях общественных советов при территориальных органах Федеральной антимонопольной службы, проводимых не реже 1 раза в 6 месяцев, обсуждаются вопросы достижения ключевых показателей развития конкуренции и внедрения стандарта.</w:t>
      </w: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ind w:firstLine="540"/>
        <w:jc w:val="both"/>
      </w:pPr>
    </w:p>
    <w:p w:rsidR="00FB065C" w:rsidRDefault="00FB065C">
      <w:pPr>
        <w:pStyle w:val="ConsPlusNormal"/>
        <w:jc w:val="right"/>
        <w:outlineLvl w:val="1"/>
      </w:pPr>
      <w:r>
        <w:t>Приложение</w:t>
      </w:r>
    </w:p>
    <w:p w:rsidR="00FB065C" w:rsidRDefault="00FB065C">
      <w:pPr>
        <w:pStyle w:val="ConsPlusNormal"/>
        <w:jc w:val="right"/>
      </w:pPr>
      <w:r>
        <w:t>к стандарту развития конкуренции</w:t>
      </w:r>
    </w:p>
    <w:p w:rsidR="00FB065C" w:rsidRDefault="00FB065C">
      <w:pPr>
        <w:pStyle w:val="ConsPlusNormal"/>
        <w:jc w:val="right"/>
      </w:pPr>
      <w:r>
        <w:t>в субъектах Российской Федерации</w:t>
      </w:r>
    </w:p>
    <w:p w:rsidR="00FB065C" w:rsidRDefault="00FB065C">
      <w:pPr>
        <w:pStyle w:val="ConsPlusNormal"/>
        <w:jc w:val="center"/>
      </w:pPr>
    </w:p>
    <w:p w:rsidR="00FB065C" w:rsidRDefault="00FB065C">
      <w:pPr>
        <w:pStyle w:val="ConsPlusTitle"/>
        <w:jc w:val="center"/>
      </w:pPr>
      <w:bookmarkStart w:id="5" w:name="P323"/>
      <w:bookmarkEnd w:id="5"/>
      <w:r>
        <w:t>ПЕРЕЧЕНЬ</w:t>
      </w:r>
    </w:p>
    <w:p w:rsidR="00FB065C" w:rsidRDefault="00FB065C">
      <w:pPr>
        <w:pStyle w:val="ConsPlusTitle"/>
        <w:jc w:val="center"/>
      </w:pPr>
      <w:r>
        <w:t>ТОВАРНЫХ РЫНКОВ ДЛЯ СОДЕЙСТВИЯ РАЗВИТИЮ КОНКУРЕНЦИИ</w:t>
      </w:r>
    </w:p>
    <w:p w:rsidR="00FB065C" w:rsidRDefault="00FB065C">
      <w:pPr>
        <w:pStyle w:val="ConsPlusTitle"/>
        <w:jc w:val="center"/>
      </w:pPr>
      <w:r>
        <w:t>В СУБЪЕКТЕ РОССИЙСКОЙ ФЕДЕРАЦИИ</w:t>
      </w:r>
    </w:p>
    <w:p w:rsidR="00FB065C" w:rsidRDefault="00FB065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154"/>
        <w:gridCol w:w="4535"/>
        <w:gridCol w:w="1870"/>
      </w:tblGrid>
      <w:tr w:rsidR="00FB065C"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B065C" w:rsidRDefault="00FB065C">
            <w:pPr>
              <w:pStyle w:val="ConsPlusNormal"/>
              <w:jc w:val="center"/>
            </w:pPr>
            <w:r>
              <w:t>Наименование товарного рынка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FB065C" w:rsidRDefault="00FB065C">
            <w:pPr>
              <w:pStyle w:val="ConsPlusNormal"/>
              <w:jc w:val="center"/>
            </w:pPr>
            <w:r>
              <w:t>Наименование ключевого показателя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FB065C" w:rsidRDefault="00FB065C">
            <w:pPr>
              <w:pStyle w:val="ConsPlusNormal"/>
              <w:jc w:val="center"/>
            </w:pPr>
            <w:r>
              <w:t>Минимальное значение ключевого показателя в 2022 году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услуг дошкольного образования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обучающихся дошкольного возраста в частных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в общей численности обучающихся дошкольного возраста в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процентов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1,6, но не менее 1 частной организации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услуг общего образования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 xml:space="preserve">доля обучающихся в частных образовательных организациях, реализующих основные общеобразовательные программы - образовательные программы начального </w:t>
            </w:r>
            <w:r>
              <w:lastRenderedPageBreak/>
              <w:t>общего, основного общего, среднего общего образования, в общем числе обучающихся в образовательных организациях, реализующих основные общеобразовательные программы - образовательные программы начального общего, основного общего, среднего общего образования,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lastRenderedPageBreak/>
              <w:t>1, но не менее 1 частной организации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услуг среднего профессионального образования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обучающихся в частных образовательных организациях, реализующих основные профессиональные образовательные программы - образовательные программы среднего профессионального образования, в общем числе обучающихся в образовательных организациях, реализующих основные профессиональные образовательные программы - образовательные программы среднего профессионального образования,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5, но не менее 1 частной организации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услуг дополнительного образования детей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услуг дополнительного образования детей,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5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услуг детского отдыха и оздоровления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отдыха и оздоровления детей частной формы собственности,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медицинских услуг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медицинских организаций частной системы здравоохранения, участвующих в реализации территориальных программ обязательного медицинского страхования,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60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 xml:space="preserve">Рынок психолого-педагогического сопровождения детей с ограниченными </w:t>
            </w:r>
            <w:r>
              <w:lastRenderedPageBreak/>
              <w:t>возможностями здоровья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lastRenderedPageBreak/>
              <w:t>доля организаций частной формы собственности в сфере услуг психолого-педагогического сопровождения детей с ограниченными возможностями здоровья,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3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/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детей с ограниченными возможностями здоровья (в возрасте до 3 лет), получающих услуги ранней диагностики, социализации и реабилитации в частных организациях сферы услуг психолого-педагогического сопровождения детей, в общей численности детей с ограниченными возможностями здоровья (в возрасте до 3 лет), получающих услуги ранней диагностики, социализации и реабилитации,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социальных услуг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негосударственных организаций социального обслуживания, предоставляющих социальные услуги,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ритуальных услуг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ритуальных услуг,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теплоснабжения (производство тепловой энергии)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теплоснабжения (производство тепловой энергии),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услуг по сбору и транспортированию твердых коммунальных отходов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услуг по сбору и транспортированию твердых коммунальных отходов,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выполнения работ по благоустройству городской среды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выполнения работ по благоустройству городской среды,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поставки сжиженного газа в баллонах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поставки сжиженного газа в баллонах,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50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купли-</w:t>
            </w:r>
            <w:r>
              <w:lastRenderedPageBreak/>
              <w:t>продажи электрической энергии (мощности) на розничном рынке электрической энергии (мощности)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lastRenderedPageBreak/>
              <w:t xml:space="preserve">доля организаций частной формы </w:t>
            </w:r>
            <w:r>
              <w:lastRenderedPageBreak/>
              <w:t>собственности в сфере купли-продажи электрической энергии (мощности) на розничном рынке электрической энергии (мощности),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lastRenderedPageBreak/>
              <w:t>30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 xml:space="preserve"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</w:t>
            </w:r>
            <w:proofErr w:type="spellStart"/>
            <w:r>
              <w:t>когенерации</w:t>
            </w:r>
            <w:proofErr w:type="spellEnd"/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 xml:space="preserve">доля организаций частной формы собственности в сфере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</w:t>
            </w:r>
            <w:proofErr w:type="spellStart"/>
            <w:r>
              <w:t>когенерации</w:t>
            </w:r>
            <w:proofErr w:type="spellEnd"/>
            <w:r>
              <w:t>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30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услуг (работ) по перевозке пассажиров автомобильным транспортом по межмуниципальным маршрутам регулярных перевозок, оказанных (выполненных) организациями частной формы собственности,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30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 xml:space="preserve">Рынок оказания услуг по перевозке пассажиров и багажа легковым такси на территории субъекта </w:t>
            </w:r>
            <w:r>
              <w:lastRenderedPageBreak/>
              <w:t>Российской Федерации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lastRenderedPageBreak/>
              <w:t>доля организаций частной формы собственности в сфере оказания услуг по перевозке пассажиров и багажа легковым такси на территории субъекта Российской Федерации,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70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оказания услуг по ремонту автотранспортных средств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оказания услуг по ремонту автотранспортных средств,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40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увеличение количества объектов государственной и муниципальной собственности, фактически используемых операторами связи для размещения и строительства сетей и сооружений связи, процентов по отношению к показателям 2018 года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/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оказания услуг по предоставлению широкополосного доступа к информационно-телекоммуникационной сети "Интернет",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98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жилищного строительства (за исключением Московского фонда реновации жилой застройки и индивидуального жилищного строительства)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жилищного строительства (за исключением Московского фонда реновации жилой застройки и индивидуального жилищного строительства),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80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80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дорожной деятельности (за исключением проектирования)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дорожной деятельности (за исключением проектирования),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80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архитектурно-строительного проектирования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архитектурно-строительного проектирования,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80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 xml:space="preserve">Рынок кадастровых </w:t>
            </w:r>
            <w:r>
              <w:lastRenderedPageBreak/>
              <w:t>и землеустроительных работ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lastRenderedPageBreak/>
              <w:t xml:space="preserve">доля организаций частной формы </w:t>
            </w:r>
            <w:r>
              <w:lastRenderedPageBreak/>
              <w:t>собственности в сфере кадастровых и землеустроительных работ,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lastRenderedPageBreak/>
              <w:t>80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реализации сельскохозяйственной продукции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сельскохозяйственных потребительских кооперативов в общем объеме реализации сельскохозяйственной продукции,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5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лабораторных исследований для выдачи ветеринарных сопроводительных документов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лабораторных исследований для выдачи ветеринарных сопроводительных документов,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племенного животноводства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на рынке племенного животноводства,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семеноводства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на рынке семеноводства,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20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вылова водных биоресурсов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на рынке вылова водных биоресурсов,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80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переработки водных биоресурсов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на рынке переработки водных биоресурсов,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80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 xml:space="preserve">Рынок </w:t>
            </w:r>
            <w:proofErr w:type="gramStart"/>
            <w:r>
              <w:t>товарной</w:t>
            </w:r>
            <w:proofErr w:type="gramEnd"/>
            <w:r>
              <w:t xml:space="preserve"> </w:t>
            </w:r>
            <w:proofErr w:type="spellStart"/>
            <w:r>
              <w:t>аквакультуры</w:t>
            </w:r>
            <w:proofErr w:type="spellEnd"/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 xml:space="preserve">доля организаций частной формы собственности на рынке товарной </w:t>
            </w:r>
            <w:proofErr w:type="spellStart"/>
            <w:r>
              <w:t>аквакультуры</w:t>
            </w:r>
            <w:proofErr w:type="spellEnd"/>
            <w:r>
              <w:t>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80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добычи общераспространенных полезных ископаемых на участках недр местного значения,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80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нефтепродуктов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на рынке нефтепродуктов,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90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легкой промышленности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легкой промышленности,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70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 xml:space="preserve">Рынок обработки древесины и </w:t>
            </w:r>
            <w:r>
              <w:lastRenderedPageBreak/>
              <w:t>производства изделий из дерева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lastRenderedPageBreak/>
              <w:t xml:space="preserve">доля организаций частной формы собственности в сфере обработки </w:t>
            </w:r>
            <w:r>
              <w:lastRenderedPageBreak/>
              <w:t>древесины и производства изделий из дерева,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lastRenderedPageBreak/>
              <w:t>70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lastRenderedPageBreak/>
              <w:t>39.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производства кирпича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производства кирпича,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70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Рынок производства бетона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производства бетона,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70</w:t>
            </w:r>
          </w:p>
        </w:tc>
      </w:tr>
      <w:tr w:rsidR="00FB065C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065C" w:rsidRDefault="00FB065C">
            <w:pPr>
              <w:pStyle w:val="ConsPlusNormal"/>
            </w:pPr>
            <w:r>
              <w:t>Сфера наружной рекламы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065C" w:rsidRDefault="00FB065C">
            <w:pPr>
              <w:pStyle w:val="ConsPlusNormal"/>
            </w:pPr>
            <w:r>
              <w:t>доля организаций частной формы собственности в сфере наружной рекламы, процентов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065C" w:rsidRDefault="00FB065C">
            <w:pPr>
              <w:pStyle w:val="ConsPlusNormal"/>
              <w:jc w:val="center"/>
            </w:pPr>
            <w:r>
              <w:t>100</w:t>
            </w:r>
          </w:p>
        </w:tc>
      </w:tr>
    </w:tbl>
    <w:p w:rsidR="00FB065C" w:rsidRDefault="00FB065C">
      <w:pPr>
        <w:pStyle w:val="ConsPlusNormal"/>
        <w:jc w:val="both"/>
      </w:pPr>
    </w:p>
    <w:p w:rsidR="00FB065C" w:rsidRDefault="00FB065C">
      <w:pPr>
        <w:pStyle w:val="ConsPlusNormal"/>
        <w:jc w:val="both"/>
      </w:pPr>
    </w:p>
    <w:p w:rsidR="00FB065C" w:rsidRDefault="00FB06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19EE" w:rsidRDefault="008519EE"/>
    <w:sectPr w:rsidR="008519EE" w:rsidSect="00E36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B317CEA"/>
    <w:multiLevelType w:val="multilevel"/>
    <w:tmpl w:val="56EC373A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065C"/>
    <w:rsid w:val="000272EA"/>
    <w:rsid w:val="005B736F"/>
    <w:rsid w:val="005E477B"/>
    <w:rsid w:val="00777CBC"/>
    <w:rsid w:val="008519EE"/>
    <w:rsid w:val="00FB0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272EA"/>
    <w:pPr>
      <w:spacing w:after="60"/>
      <w:jc w:val="both"/>
    </w:pPr>
    <w:rPr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next w:val="a0"/>
    <w:link w:val="10"/>
    <w:qFormat/>
    <w:rsid w:val="000272EA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0"/>
    <w:next w:val="a0"/>
    <w:link w:val="20"/>
    <w:qFormat/>
    <w:rsid w:val="000272EA"/>
    <w:pPr>
      <w:keepNext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0"/>
    <w:next w:val="a0"/>
    <w:link w:val="30"/>
    <w:qFormat/>
    <w:rsid w:val="000272EA"/>
    <w:pPr>
      <w:keepNext/>
      <w:numPr>
        <w:ilvl w:val="2"/>
        <w:numId w:val="7"/>
      </w:numPr>
      <w:spacing w:before="240"/>
      <w:outlineLvl w:val="2"/>
    </w:pPr>
    <w:rPr>
      <w:rFonts w:ascii="Arial" w:hAnsi="Arial"/>
      <w:b/>
      <w:szCs w:val="20"/>
    </w:rPr>
  </w:style>
  <w:style w:type="paragraph" w:styleId="4">
    <w:name w:val="heading 4"/>
    <w:aliases w:val="Параграф"/>
    <w:basedOn w:val="a0"/>
    <w:next w:val="a0"/>
    <w:link w:val="40"/>
    <w:qFormat/>
    <w:rsid w:val="000272EA"/>
    <w:pPr>
      <w:keepNext/>
      <w:numPr>
        <w:ilvl w:val="3"/>
        <w:numId w:val="7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aliases w:val="Пункт"/>
    <w:basedOn w:val="a0"/>
    <w:next w:val="a0"/>
    <w:link w:val="50"/>
    <w:qFormat/>
    <w:rsid w:val="000272EA"/>
    <w:pPr>
      <w:numPr>
        <w:ilvl w:val="4"/>
        <w:numId w:val="7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0"/>
    <w:next w:val="a0"/>
    <w:link w:val="60"/>
    <w:qFormat/>
    <w:rsid w:val="000272EA"/>
    <w:pPr>
      <w:numPr>
        <w:ilvl w:val="5"/>
        <w:numId w:val="7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0"/>
    <w:next w:val="a0"/>
    <w:link w:val="70"/>
    <w:qFormat/>
    <w:rsid w:val="000272EA"/>
    <w:pPr>
      <w:numPr>
        <w:ilvl w:val="6"/>
        <w:numId w:val="7"/>
      </w:numPr>
      <w:spacing w:before="240"/>
      <w:outlineLvl w:val="6"/>
    </w:pPr>
  </w:style>
  <w:style w:type="paragraph" w:styleId="8">
    <w:name w:val="heading 8"/>
    <w:basedOn w:val="a0"/>
    <w:next w:val="a0"/>
    <w:link w:val="80"/>
    <w:qFormat/>
    <w:rsid w:val="000272EA"/>
    <w:pPr>
      <w:numPr>
        <w:ilvl w:val="7"/>
        <w:numId w:val="7"/>
      </w:numPr>
      <w:spacing w:before="24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0272EA"/>
    <w:pPr>
      <w:numPr>
        <w:ilvl w:val="8"/>
        <w:numId w:val="7"/>
      </w:numPr>
      <w:spacing w:before="24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0272EA"/>
    <w:rPr>
      <w:b/>
      <w:kern w:val="28"/>
      <w:sz w:val="36"/>
    </w:rPr>
  </w:style>
  <w:style w:type="character" w:customStyle="1" w:styleId="20">
    <w:name w:val="Заголовок 2 Знак"/>
    <w:aliases w:val="H2 Знак"/>
    <w:basedOn w:val="a1"/>
    <w:link w:val="2"/>
    <w:rsid w:val="000272EA"/>
    <w:rPr>
      <w:b/>
      <w:sz w:val="30"/>
    </w:rPr>
  </w:style>
  <w:style w:type="character" w:customStyle="1" w:styleId="H21">
    <w:name w:val="H2 Знак1"/>
    <w:rsid w:val="000272EA"/>
    <w:rPr>
      <w:b/>
      <w:sz w:val="30"/>
    </w:rPr>
  </w:style>
  <w:style w:type="character" w:customStyle="1" w:styleId="30">
    <w:name w:val="Заголовок 3 Знак"/>
    <w:basedOn w:val="a1"/>
    <w:link w:val="3"/>
    <w:rsid w:val="000272EA"/>
    <w:rPr>
      <w:rFonts w:ascii="Arial" w:hAnsi="Arial"/>
      <w:b/>
      <w:sz w:val="24"/>
    </w:rPr>
  </w:style>
  <w:style w:type="character" w:customStyle="1" w:styleId="40">
    <w:name w:val="Заголовок 4 Знак"/>
    <w:aliases w:val="Параграф Знак"/>
    <w:basedOn w:val="a1"/>
    <w:link w:val="4"/>
    <w:rsid w:val="000272EA"/>
    <w:rPr>
      <w:rFonts w:ascii="Arial" w:hAnsi="Arial"/>
      <w:sz w:val="24"/>
    </w:rPr>
  </w:style>
  <w:style w:type="character" w:customStyle="1" w:styleId="50">
    <w:name w:val="Заголовок 5 Знак"/>
    <w:aliases w:val="Пункт Знак"/>
    <w:basedOn w:val="a1"/>
    <w:link w:val="5"/>
    <w:rsid w:val="000272EA"/>
    <w:rPr>
      <w:sz w:val="22"/>
    </w:rPr>
  </w:style>
  <w:style w:type="character" w:customStyle="1" w:styleId="60">
    <w:name w:val="Заголовок 6 Знак"/>
    <w:basedOn w:val="a1"/>
    <w:link w:val="6"/>
    <w:rsid w:val="000272EA"/>
    <w:rPr>
      <w:i/>
      <w:sz w:val="22"/>
    </w:rPr>
  </w:style>
  <w:style w:type="character" w:customStyle="1" w:styleId="70">
    <w:name w:val="Заголовок 7 Знак"/>
    <w:basedOn w:val="a1"/>
    <w:link w:val="7"/>
    <w:rsid w:val="000272EA"/>
    <w:rPr>
      <w:sz w:val="24"/>
      <w:szCs w:val="24"/>
    </w:rPr>
  </w:style>
  <w:style w:type="character" w:customStyle="1" w:styleId="80">
    <w:name w:val="Заголовок 8 Знак"/>
    <w:basedOn w:val="a1"/>
    <w:link w:val="8"/>
    <w:rsid w:val="000272EA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0272EA"/>
    <w:rPr>
      <w:rFonts w:ascii="Arial" w:hAnsi="Arial" w:cs="Arial"/>
      <w:sz w:val="22"/>
      <w:szCs w:val="22"/>
    </w:rPr>
  </w:style>
  <w:style w:type="paragraph" w:styleId="a4">
    <w:name w:val="Title"/>
    <w:aliases w:val="Знак Знак Знак Знак Знак Знак Знак Знак,Знак Знак Знак Знак Знак Знак,Знак Знак Знак,Знак Знак Знак Знак,Знак Знак Знак1"/>
    <w:basedOn w:val="a0"/>
    <w:link w:val="a5"/>
    <w:qFormat/>
    <w:rsid w:val="000272EA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5">
    <w:name w:val="Название Знак"/>
    <w:aliases w:val="Знак Знак Знак Знак Знак Знак Знак Знак Знак,Знак Знак Знак Знак Знак Знак Знак,Знак Знак Знак Знак1,Знак Знак Знак Знак Знак,Знак Знак Знак1 Знак"/>
    <w:basedOn w:val="a1"/>
    <w:link w:val="a4"/>
    <w:rsid w:val="000272EA"/>
    <w:rPr>
      <w:rFonts w:ascii="Arial" w:hAnsi="Arial"/>
      <w:b/>
      <w:kern w:val="28"/>
      <w:sz w:val="32"/>
    </w:rPr>
  </w:style>
  <w:style w:type="paragraph" w:styleId="a6">
    <w:name w:val="Subtitle"/>
    <w:basedOn w:val="a0"/>
    <w:link w:val="a7"/>
    <w:qFormat/>
    <w:rsid w:val="000272EA"/>
    <w:pPr>
      <w:jc w:val="center"/>
      <w:outlineLvl w:val="1"/>
    </w:pPr>
    <w:rPr>
      <w:rFonts w:ascii="Arial" w:hAnsi="Arial"/>
      <w:szCs w:val="20"/>
    </w:rPr>
  </w:style>
  <w:style w:type="character" w:customStyle="1" w:styleId="a7">
    <w:name w:val="Подзаголовок Знак"/>
    <w:basedOn w:val="a1"/>
    <w:link w:val="a6"/>
    <w:rsid w:val="000272EA"/>
    <w:rPr>
      <w:rFonts w:ascii="Arial" w:hAnsi="Arial"/>
      <w:sz w:val="24"/>
    </w:rPr>
  </w:style>
  <w:style w:type="character" w:styleId="a8">
    <w:name w:val="Strong"/>
    <w:qFormat/>
    <w:rsid w:val="000272EA"/>
    <w:rPr>
      <w:b/>
      <w:bCs/>
    </w:rPr>
  </w:style>
  <w:style w:type="character" w:styleId="a9">
    <w:name w:val="Emphasis"/>
    <w:qFormat/>
    <w:rsid w:val="000272EA"/>
    <w:rPr>
      <w:i/>
      <w:iCs/>
    </w:rPr>
  </w:style>
  <w:style w:type="paragraph" w:styleId="aa">
    <w:name w:val="Normal (Web)"/>
    <w:aliases w:val=" Знак2"/>
    <w:basedOn w:val="a0"/>
    <w:qFormat/>
    <w:rsid w:val="000272EA"/>
  </w:style>
  <w:style w:type="paragraph" w:styleId="ab">
    <w:name w:val="No Spacing"/>
    <w:link w:val="ac"/>
    <w:qFormat/>
    <w:rsid w:val="000272EA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Без интервала Знак"/>
    <w:link w:val="ab"/>
    <w:rsid w:val="000272EA"/>
    <w:rPr>
      <w:rFonts w:ascii="Calibri" w:eastAsia="Calibri" w:hAnsi="Calibri"/>
      <w:sz w:val="22"/>
      <w:szCs w:val="22"/>
      <w:lang w:eastAsia="en-US"/>
    </w:rPr>
  </w:style>
  <w:style w:type="paragraph" w:styleId="ad">
    <w:name w:val="List Paragraph"/>
    <w:basedOn w:val="a0"/>
    <w:qFormat/>
    <w:rsid w:val="000272EA"/>
    <w:pPr>
      <w:spacing w:after="0"/>
      <w:ind w:left="708"/>
      <w:jc w:val="left"/>
    </w:pPr>
  </w:style>
  <w:style w:type="paragraph" w:customStyle="1" w:styleId="a">
    <w:name w:val="Текст ТД"/>
    <w:basedOn w:val="a0"/>
    <w:link w:val="ae"/>
    <w:qFormat/>
    <w:rsid w:val="000272EA"/>
    <w:pPr>
      <w:numPr>
        <w:numId w:val="8"/>
      </w:numPr>
      <w:autoSpaceDE w:val="0"/>
      <w:autoSpaceDN w:val="0"/>
      <w:adjustRightInd w:val="0"/>
      <w:spacing w:after="200"/>
    </w:pPr>
    <w:rPr>
      <w:rFonts w:ascii="Calibri" w:eastAsia="Calibri" w:hAnsi="Calibri"/>
      <w:lang w:eastAsia="en-US"/>
    </w:rPr>
  </w:style>
  <w:style w:type="character" w:customStyle="1" w:styleId="ae">
    <w:name w:val="Текст ТД Знак"/>
    <w:link w:val="a"/>
    <w:locked/>
    <w:rsid w:val="000272EA"/>
    <w:rPr>
      <w:rFonts w:ascii="Calibri" w:eastAsia="Calibri" w:hAnsi="Calibri"/>
      <w:sz w:val="24"/>
      <w:szCs w:val="24"/>
      <w:lang w:eastAsia="en-US"/>
    </w:rPr>
  </w:style>
  <w:style w:type="paragraph" w:customStyle="1" w:styleId="ConsPlusNormal">
    <w:name w:val="ConsPlusNormal"/>
    <w:rsid w:val="00FB065C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FB065C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FB065C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48B8B7549E4DE1DC055C5B060834BE9B4072421312F7096CAD3689C19C592AB0AFA82FE2ECB56BAB6AF057CE69804695351AEFA2775BA8lCr5G" TargetMode="External"/><Relationship Id="rId13" Type="http://schemas.openxmlformats.org/officeDocument/2006/relationships/hyperlink" Target="consultantplus://offline/ref=3D48B8B7549E4DE1DC054240130834BE9B4F7F4C1A17F7096CAD3689C19C592AB0AFA82FE2ECB56EA86AF057CE69804695351AEFA2775BA8lCr5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D48B8B7549E4DE1DC055C5B060834BE9B4072421312F7096CAD3689C19C592AB0AFA82FE2ECB56CA16AF057CE69804695351AEFA2775BA8lCr5G" TargetMode="External"/><Relationship Id="rId12" Type="http://schemas.openxmlformats.org/officeDocument/2006/relationships/hyperlink" Target="consultantplus://offline/ref=3D48B8B7549E4DE1DC055C5B060834BE9A4E70461A1CF7096CAD3689C19C592AA2AFF023E0EEAB6EAB7FA60688l3rC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D48B8B7549E4DE1DC054240130834BE9B4873471D13F7096CAD3689C19C592AB0AFA82FE2ECB56EAA6AF057CE69804695351AEFA2775BA8lCr5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D48B8B7549E4DE1DC055C5B060834BE9B48734D191CF7096CAD3689C19C592AA2AFF023E0EEAB6EAB7FA60688l3rCG" TargetMode="External"/><Relationship Id="rId11" Type="http://schemas.openxmlformats.org/officeDocument/2006/relationships/hyperlink" Target="consultantplus://offline/ref=3D48B8B7549E4DE1DC055C5B060834BE9A4E70461A1CF7096CAD3689C19C592AA2AFF023E0EEAB6EAB7FA60688l3rCG" TargetMode="External"/><Relationship Id="rId5" Type="http://schemas.openxmlformats.org/officeDocument/2006/relationships/hyperlink" Target="consultantplus://offline/ref=3D48B8B7549E4DE1DC055C5B060834BE9B48734D1212F7096CAD3689C19C592AA2AFF023E0EEAB6EAB7FA60688l3rCG" TargetMode="External"/><Relationship Id="rId15" Type="http://schemas.openxmlformats.org/officeDocument/2006/relationships/hyperlink" Target="consultantplus://offline/ref=3D48B8B7549E4DE1DC055C5B060834BE9A4C704C1F1DF7096CAD3689C19C592AB0AFA82FE2ECB56FA16AF057CE69804695351AEFA2775BA8lCr5G" TargetMode="External"/><Relationship Id="rId10" Type="http://schemas.openxmlformats.org/officeDocument/2006/relationships/hyperlink" Target="consultantplus://offline/ref=3D48B8B7549E4DE1DC055C5B060834BE9A4F77461E13F7096CAD3689C19C592AB0AFA82FE2ECB46AAA6AF057CE69804695351AEFA2775BA8lCr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D48B8B7549E4DE1DC055C5B060834BE9A4F77461E13F7096CAD3689C19C592AB0AFA82DE7EEBE3BF825F10B883E9345953519EDBEl7r5G" TargetMode="External"/><Relationship Id="rId14" Type="http://schemas.openxmlformats.org/officeDocument/2006/relationships/hyperlink" Target="consultantplus://offline/ref=3D48B8B7549E4DE1DC055C5B060834BE984172431316F7096CAD3689C19C592AB0AFA82FE2ECB56EA16AF057CE69804695351AEFA2775BA8lCr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12724</Words>
  <Characters>72530</Characters>
  <Application>Microsoft Office Word</Application>
  <DocSecurity>0</DocSecurity>
  <Lines>604</Lines>
  <Paragraphs>170</Paragraphs>
  <ScaleCrop>false</ScaleCrop>
  <Company>Krokoz™</Company>
  <LinksUpToDate>false</LinksUpToDate>
  <CharactersWithSpaces>85084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kulalev</dc:creator>
  <cp:lastModifiedBy>kulalev</cp:lastModifiedBy>
  <cp:revision>1</cp:revision>
  <dcterms:created xsi:type="dcterms:W3CDTF">2020-12-22T06:43:00Z</dcterms:created>
  <dcterms:modified xsi:type="dcterms:W3CDTF">2020-12-22T06:45:00Z</dcterms:modified>
</cp:coreProperties>
</file>